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center"/>
        <w:outlineLvl w:val="1"/>
        <w:rPr>
          <w:rFonts w:hint="eastAsia" w:ascii="Times New Roman" w:hAnsi="Times New Roman"/>
          <w:b/>
          <w:bCs/>
          <w:sz w:val="52"/>
          <w:szCs w:val="52"/>
        </w:rPr>
      </w:pPr>
      <w:r>
        <w:rPr>
          <w:rFonts w:hint="eastAsia" w:ascii="汉仪菱心体简" w:hAnsi="汉仪菱心体简" w:eastAsia="汉仪菱心体简" w:cs="汉仪菱心体简"/>
          <w:i w:val="0"/>
          <w:caps w:val="0"/>
          <w:color w:val="6787B2"/>
          <w:spacing w:val="0"/>
          <w:sz w:val="84"/>
          <w:szCs w:val="84"/>
          <w:shd w:val="clear" w:fill="FFFFFF"/>
          <w:lang w:val="en-US" w:eastAsia="zh-CN"/>
        </w:rPr>
        <w:t>教案</w:t>
      </w:r>
    </w:p>
    <w:p>
      <w:pPr>
        <w:keepNext/>
        <w:keepLines/>
        <w:spacing w:before="260" w:after="260" w:line="240" w:lineRule="auto"/>
        <w:jc w:val="center"/>
        <w:outlineLvl w:val="1"/>
        <w:rPr>
          <w:rFonts w:hint="default" w:ascii="Times New Roman" w:hAnsi="Times New Roman" w:eastAsia="宋体"/>
          <w:b/>
          <w:bCs/>
          <w:color w:val="2E75B6" w:themeColor="accent1" w:themeShade="BF"/>
          <w:sz w:val="52"/>
          <w:szCs w:val="52"/>
          <w:lang w:val="en-US" w:eastAsia="zh-CN"/>
        </w:rPr>
      </w:pPr>
      <w:r>
        <w:rPr>
          <w:rFonts w:hint="eastAsia" w:ascii="思源宋体 CN Heavy" w:hAnsi="思源宋体 CN Heavy" w:eastAsia="思源宋体 CN Heavy" w:cs="思源宋体 CN Heavy"/>
          <w:b/>
          <w:bCs/>
          <w:color w:val="6787B2"/>
          <w:sz w:val="112"/>
          <w:szCs w:val="112"/>
          <w:lang w:val="en-US" w:eastAsia="zh-CN"/>
        </w:rPr>
        <w:t>无机化学</w:t>
      </w:r>
      <w:r>
        <w:rPr>
          <w:rFonts w:hint="eastAsia" w:ascii="Times New Roman" w:hAnsi="Times New Roman"/>
          <w:b/>
          <w:bCs/>
          <w:color w:val="2E75B6" w:themeColor="accent1" w:themeShade="BF"/>
          <w:sz w:val="52"/>
          <w:szCs w:val="52"/>
          <w:lang w:eastAsia="zh-CN"/>
        </w:rPr>
        <w:t>（</w:t>
      </w:r>
      <w:r>
        <w:rPr>
          <w:rFonts w:hint="eastAsia" w:ascii="Times New Roman" w:hAnsi="Times New Roman"/>
          <w:b/>
          <w:bCs/>
          <w:color w:val="2E75B6" w:themeColor="accent1" w:themeShade="BF"/>
          <w:sz w:val="52"/>
          <w:szCs w:val="52"/>
          <w:lang w:val="en-US" w:eastAsia="zh-CN"/>
        </w:rPr>
        <w:t>第二版）</w:t>
      </w: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r>
        <w:rPr>
          <w:rFonts w:hint="eastAsia" w:ascii="Times New Roman" w:hAnsi="Times New Roman"/>
          <w:b/>
          <w:bCs/>
          <w:color w:val="8FAADC" w:themeColor="accent5" w:themeTint="99"/>
          <w:sz w:val="28"/>
          <w:szCs w:val="28"/>
          <w:lang w:val="en-US" w:eastAsia="zh-CN"/>
          <w14:textFill>
            <w14:solidFill>
              <w14:schemeClr w14:val="accent5">
                <w14:lumMod w14:val="60000"/>
                <w14:lumOff w14:val="40000"/>
              </w14:schemeClr>
            </w14:solidFill>
          </w14:textFill>
        </w:rPr>
        <w:t>北京出版社</w:t>
      </w:r>
    </w:p>
    <w:p>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pPr>
        <w:pStyle w:val="3"/>
        <w:bidi w:val="0"/>
        <w:jc w:val="center"/>
        <w:rPr>
          <w:rFonts w:hint="eastAsia"/>
          <w:sz w:val="52"/>
          <w:szCs w:val="52"/>
          <w:lang w:eastAsia="zh-CN"/>
        </w:rPr>
      </w:pPr>
      <w:r>
        <w:rPr>
          <w:rFonts w:hint="eastAsia"/>
          <w:sz w:val="52"/>
          <w:szCs w:val="52"/>
          <w:lang w:eastAsia="zh-CN"/>
        </w:rPr>
        <w:t>课时分配表</w:t>
      </w:r>
    </w:p>
    <w:tbl>
      <w:tblPr>
        <w:tblStyle w:val="11"/>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Layout w:type="autofit"/>
        <w:tblCellMar>
          <w:top w:w="0" w:type="dxa"/>
          <w:left w:w="108" w:type="dxa"/>
          <w:bottom w:w="0" w:type="dxa"/>
          <w:right w:w="108" w:type="dxa"/>
        </w:tblCellMar>
      </w:tblPr>
      <w:tblGrid>
        <w:gridCol w:w="1176"/>
        <w:gridCol w:w="5269"/>
        <w:gridCol w:w="1735"/>
        <w:gridCol w:w="2025"/>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章序</w:t>
            </w:r>
          </w:p>
        </w:tc>
        <w:tc>
          <w:tcPr>
            <w:tcW w:w="4166"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课程内容</w:t>
            </w:r>
          </w:p>
        </w:tc>
        <w:tc>
          <w:tcPr>
            <w:tcW w:w="1372"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课时</w:t>
            </w:r>
          </w:p>
        </w:tc>
        <w:tc>
          <w:tcPr>
            <w:tcW w:w="1600"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备注</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cs="宋体"/>
                <w:b/>
                <w:bCs/>
                <w:color w:val="000000" w:themeColor="text1"/>
                <w:sz w:val="28"/>
                <w:szCs w:val="28"/>
                <w:vertAlign w:val="baseline"/>
                <w:lang w:eastAsia="zh-CN"/>
                <w14:textFill>
                  <w14:solidFill>
                    <w14:schemeClr w14:val="tx1"/>
                  </w14:solidFill>
                </w14:textFill>
              </w:rPr>
              <w:t>绪论</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原子结构与元素周期表</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3</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分子结构</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化学基础概念和热力学基础</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5</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分散系</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化学平衡</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7</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酸碱反应</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8</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氧化还原平衡与电化学基础</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9</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沉淀溶解平衡</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10</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配位化合物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11</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常见金属元素及其化合物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12</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常见非金属元素及其化合物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总计</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48</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bl>
    <w:p>
      <w:pPr>
        <w:rPr>
          <w:rFonts w:hint="eastAsia" w:ascii="黑体" w:hAnsi="黑体" w:eastAsia="黑体" w:cs="黑体"/>
          <w:b/>
          <w:bCs/>
          <w:color w:val="000000" w:themeColor="text1"/>
          <w:sz w:val="44"/>
          <w:szCs w:val="44"/>
          <w:lang w:eastAsia="zh-CN"/>
          <w14:textFill>
            <w14:solidFill>
              <w14:schemeClr w14:val="tx1"/>
            </w14:solidFill>
          </w14:textFill>
        </w:rPr>
      </w:pPr>
    </w:p>
    <w:p>
      <w:pPr>
        <w:rPr>
          <w:rFonts w:hint="eastAsia" w:ascii="微软简老宋" w:hAnsi="微软简老宋" w:eastAsia="微软简老宋" w:cs="微软简老宋"/>
          <w:b w:val="0"/>
          <w:bCs w:val="0"/>
          <w:color w:val="00B0F0"/>
          <w:sz w:val="32"/>
          <w:szCs w:val="32"/>
        </w:rPr>
      </w:pPr>
      <w:r>
        <w:rPr>
          <w:rFonts w:hint="eastAsia" w:ascii="微软简老宋" w:hAnsi="微软简老宋" w:eastAsia="微软简老宋" w:cs="微软简老宋"/>
          <w:b w:val="0"/>
          <w:bCs w:val="0"/>
          <w:color w:val="00B0F0"/>
          <w:sz w:val="32"/>
          <w:szCs w:val="32"/>
        </w:rPr>
        <w:br w:type="page"/>
      </w:r>
    </w:p>
    <w:p>
      <w:pPr>
        <w:pStyle w:val="3"/>
        <w:bidi w:val="0"/>
        <w:jc w:val="center"/>
        <w:rPr>
          <w:rFonts w:hint="eastAsia"/>
          <w:color w:val="6787B2"/>
          <w:lang w:eastAsia="zh-CN"/>
        </w:rPr>
      </w:pPr>
      <w:r>
        <w:rPr>
          <w:rFonts w:hint="eastAsia"/>
          <w:color w:val="6787B2"/>
        </w:rPr>
        <w:t>第9课  沉淀溶解平衡</w:t>
      </w:r>
    </w:p>
    <w:tbl>
      <w:tblPr>
        <w:tblStyle w:val="10"/>
        <w:tblW w:w="10693"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338"/>
        <w:gridCol w:w="8046"/>
        <w:gridCol w:w="1309"/>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8"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9355"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b/>
                <w:bCs/>
                <w:sz w:val="24"/>
                <w:szCs w:val="24"/>
              </w:rPr>
            </w:pPr>
            <w:r>
              <w:rPr>
                <w:rFonts w:hint="eastAsia"/>
                <w:b/>
                <w:bCs/>
                <w:color w:val="6787B2"/>
                <w:sz w:val="22"/>
                <w:szCs w:val="24"/>
              </w:rPr>
              <w:t>沉淀溶解平衡</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8"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9355"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rPr>
              <w:t>2课时（90min）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8"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9355"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hAnsi="宋体"/>
                <w:bCs/>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r>
              <w:rPr>
                <w:rFonts w:hint="default" w:hAnsi="宋体"/>
                <w:bCs/>
                <w:sz w:val="24"/>
                <w:szCs w:val="24"/>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hAnsi="宋体"/>
                <w:bCs/>
                <w:sz w:val="24"/>
                <w:szCs w:val="24"/>
              </w:rPr>
            </w:pPr>
            <w:r>
              <w:rPr>
                <w:rFonts w:hint="eastAsia" w:hAnsi="宋体"/>
                <w:bCs/>
                <w:sz w:val="24"/>
                <w:szCs w:val="24"/>
              </w:rPr>
              <w:t xml:space="preserve">1.  掌握溶液组成标度的表示方法及换算、溶液的配制、渗透压的基本概念、溶胶和高分子化合物溶液的组成。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hAnsi="宋体"/>
                <w:bCs/>
                <w:sz w:val="24"/>
                <w:szCs w:val="24"/>
              </w:rPr>
            </w:pPr>
            <w:r>
              <w:rPr>
                <w:rFonts w:hint="eastAsia" w:hAnsi="宋体"/>
                <w:bCs/>
                <w:sz w:val="24"/>
                <w:szCs w:val="24"/>
              </w:rPr>
              <w:t xml:space="preserve">2.  熟悉溶胶的形成及胶粒带电的原因、溶胶的稳定性和聚沉、高分子化合物溶液和凝胶的基本性质；会利用溶胶稳定性和聚沉的基本知识解释和体会在实验和生活中的应用。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default"/>
                <w:bCs/>
                <w:sz w:val="24"/>
                <w:szCs w:val="24"/>
              </w:rPr>
            </w:pPr>
            <w:r>
              <w:rPr>
                <w:rFonts w:hint="eastAsia" w:hAnsi="宋体"/>
                <w:bCs/>
                <w:sz w:val="24"/>
                <w:szCs w:val="24"/>
              </w:rPr>
              <w:t>3.  了解稀溶液的依数性的基本内容及其计算。</w:t>
            </w:r>
          </w:p>
          <w:p>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pPr>
              <w:keepNext w:val="0"/>
              <w:keepLines w:val="0"/>
              <w:suppressLineNumbers w:val="0"/>
              <w:spacing w:before="0" w:beforeAutospacing="0" w:after="0" w:afterAutospacing="0" w:line="360" w:lineRule="auto"/>
              <w:ind w:left="-6" w:right="0" w:firstLine="480" w:firstLineChars="200"/>
              <w:rPr>
                <w:rFonts w:hint="default" w:ascii="Times New Roman" w:hAnsi="Times New Roman"/>
                <w:sz w:val="24"/>
                <w:szCs w:val="24"/>
              </w:rPr>
            </w:pPr>
            <w:r>
              <w:rPr>
                <w:rFonts w:hint="eastAsia" w:ascii="Times New Roman" w:hAnsi="宋体"/>
                <w:bCs/>
                <w:sz w:val="24"/>
                <w:szCs w:val="24"/>
              </w:rPr>
              <w:t>培养学生科学思维与求真精神；模型认知与抽象思维能力；探索精神与哲学思考。</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8"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9355"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bCs/>
                <w:sz w:val="24"/>
                <w:szCs w:val="24"/>
              </w:rPr>
            </w:pPr>
            <w:r>
              <w:rPr>
                <w:rFonts w:hint="eastAsia" w:ascii="Times New Roman" w:hAnsi="Times New Roman"/>
                <w:b/>
                <w:sz w:val="24"/>
                <w:szCs w:val="24"/>
              </w:rPr>
              <w:t>教学重点：</w:t>
            </w:r>
            <w:r>
              <w:rPr>
                <w:rFonts w:hint="eastAsia" w:ascii="Times New Roman" w:hAnsi="Times New Roman"/>
                <w:bCs/>
                <w:sz w:val="24"/>
                <w:szCs w:val="24"/>
              </w:rPr>
              <w:t>稀溶液的依数性的基本内容及其计算</w:t>
            </w:r>
          </w:p>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eastAsia" w:ascii="Times New Roman" w:hAnsi="Times New Roman"/>
                <w:sz w:val="24"/>
                <w:szCs w:val="24"/>
              </w:rPr>
              <w:t>溶液组成标度的表示方法及换算、溶液的配制、渗透压的基本概念、溶胶和高分子化合物溶液的组成。</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8"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9355"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8"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9355"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8"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宋体"/>
                <w:b/>
                <w:sz w:val="24"/>
                <w:szCs w:val="24"/>
              </w:rPr>
            </w:pPr>
            <w:r>
              <w:rPr>
                <w:rFonts w:hint="default" w:ascii="Times New Roman" w:hAnsi="宋体"/>
                <w:b/>
                <w:sz w:val="24"/>
                <w:szCs w:val="24"/>
              </w:rPr>
              <w:t>教学设计</w:t>
            </w:r>
          </w:p>
        </w:tc>
        <w:tc>
          <w:tcPr>
            <w:tcW w:w="9355"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rPr>
              <w:t>考勤（2min）--知识讲解（</w:t>
            </w:r>
            <w:r>
              <w:rPr>
                <w:rFonts w:hint="default" w:ascii="Times New Roman" w:hAnsi="宋体"/>
                <w:sz w:val="24"/>
                <w:szCs w:val="24"/>
              </w:rPr>
              <w:t>40</w:t>
            </w:r>
            <w:r>
              <w:rPr>
                <w:rFonts w:hint="eastAsia" w:ascii="Times New Roman" w:hAnsi="宋体"/>
                <w:sz w:val="24"/>
                <w:szCs w:val="24"/>
              </w:rPr>
              <w:t>min）--作业布置（3min）</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第2节课：</w:t>
            </w:r>
            <w:r>
              <w:rPr>
                <w:rFonts w:hint="eastAsia" w:ascii="Times New Roman" w:hAnsi="宋体"/>
                <w:sz w:val="24"/>
                <w:szCs w:val="24"/>
              </w:rPr>
              <w:t>知识讲解（40min）--课堂小结（3min）--作业布置（2min）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8"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color w:val="C00000"/>
                <w:sz w:val="24"/>
                <w:szCs w:val="24"/>
              </w:rPr>
            </w:pPr>
            <w:r>
              <w:rPr>
                <w:rFonts w:hint="eastAsia" w:ascii="Times New Roman" w:hAnsi="Times New Roman"/>
                <w:b/>
                <w:color w:val="C00000"/>
                <w:sz w:val="24"/>
                <w:szCs w:val="24"/>
              </w:rPr>
              <w:t>教学过程</w:t>
            </w:r>
          </w:p>
        </w:tc>
        <w:tc>
          <w:tcPr>
            <w:tcW w:w="8046" w:type="dxa"/>
            <w:tcBorders>
              <w:tl2br w:val="nil"/>
              <w:tr2bl w:val="nil"/>
            </w:tcBorders>
            <w:shd w:val="clear" w:color="auto" w:fill="BEEEF9"/>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b/>
                <w:color w:val="C00000"/>
                <w:sz w:val="24"/>
                <w:szCs w:val="24"/>
              </w:rPr>
            </w:pPr>
            <w:r>
              <w:rPr>
                <w:rFonts w:hint="eastAsia" w:ascii="Times New Roman" w:hAnsi="Times New Roman"/>
                <w:b/>
                <w:color w:val="C00000"/>
                <w:sz w:val="24"/>
                <w:szCs w:val="24"/>
              </w:rPr>
              <w:t>主要教学内容及步骤</w:t>
            </w:r>
          </w:p>
        </w:tc>
        <w:tc>
          <w:tcPr>
            <w:tcW w:w="1309" w:type="dxa"/>
            <w:tcBorders>
              <w:tl2br w:val="nil"/>
              <w:tr2bl w:val="nil"/>
            </w:tcBorders>
            <w:shd w:val="clear" w:color="auto" w:fill="BEEEF9"/>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b/>
                <w:color w:val="C00000"/>
                <w:sz w:val="24"/>
                <w:szCs w:val="24"/>
              </w:rPr>
            </w:pPr>
            <w:r>
              <w:rPr>
                <w:rFonts w:hint="default" w:ascii="Times New Roman" w:hAnsi="Times New Roman"/>
                <w:b/>
                <w:color w:val="C00000"/>
                <w:sz w:val="24"/>
                <w:szCs w:val="24"/>
              </w:rPr>
              <w:t>设计意图</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8"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eastAsia" w:ascii="Times New Roman" w:hAnsi="Times New Roman"/>
                <w:b/>
                <w:sz w:val="24"/>
                <w:szCs w:val="24"/>
              </w:rPr>
              <w:t>考勤</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eastAsia" w:ascii="Times New Roman" w:hAnsi="Times New Roman"/>
                <w:b/>
                <w:sz w:val="24"/>
                <w:szCs w:val="24"/>
              </w:rPr>
              <w:t>（2min）</w:t>
            </w:r>
          </w:p>
        </w:tc>
        <w:tc>
          <w:tcPr>
            <w:tcW w:w="8046"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color w:val="C00000"/>
                <w:sz w:val="24"/>
                <w:szCs w:val="24"/>
              </w:rPr>
            </w:pPr>
            <w:r>
              <w:rPr>
                <w:rFonts w:hint="eastAsia" w:ascii="Times New Roman" w:hAnsi="Times New Roman"/>
                <w:color w:val="C00000"/>
                <w:sz w:val="24"/>
                <w:szCs w:val="24"/>
              </w:rPr>
              <w:t>■【教师】清点上课人数，记录好考勤</w:t>
            </w:r>
          </w:p>
          <w:p>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color w:val="548235" w:themeColor="accent6" w:themeShade="BF"/>
                <w:sz w:val="24"/>
                <w:szCs w:val="24"/>
              </w:rPr>
              <w:t>■【学生】班干部报请假人员及原因</w:t>
            </w:r>
          </w:p>
        </w:tc>
        <w:tc>
          <w:tcPr>
            <w:tcW w:w="1309" w:type="dxa"/>
            <w:tcBorders>
              <w:tl2br w:val="nil"/>
              <w:tr2bl w:val="nil"/>
            </w:tcBorders>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8"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rPr>
              <w:t>40min</w:t>
            </w:r>
            <w:r>
              <w:rPr>
                <w:rFonts w:hint="default" w:ascii="Times New Roman" w:hAnsi="Times New Roman"/>
                <w:sz w:val="24"/>
                <w:szCs w:val="24"/>
              </w:rPr>
              <w:t>）</w:t>
            </w:r>
          </w:p>
        </w:tc>
        <w:tc>
          <w:tcPr>
            <w:tcW w:w="8046" w:type="dxa"/>
            <w:tcBorders>
              <w:tl2br w:val="nil"/>
              <w:tr2bl w:val="nil"/>
            </w:tcBorders>
            <w:vAlign w:val="center"/>
          </w:tcPr>
          <w:p>
            <w:pPr>
              <w:keepNext w:val="0"/>
              <w:keepLines w:val="0"/>
              <w:widowControl/>
              <w:suppressLineNumbers w:val="0"/>
              <w:spacing w:before="0" w:beforeAutospacing="0" w:after="0" w:afterAutospacing="0" w:line="360" w:lineRule="auto"/>
              <w:ind w:left="0" w:right="0"/>
              <w:jc w:val="left"/>
              <w:rPr>
                <w:rFonts w:hint="eastAsia" w:ascii="宋体" w:hAnsi="宋体" w:cs="宋体"/>
                <w:b/>
                <w:color w:val="C00000"/>
                <w:sz w:val="24"/>
                <w:szCs w:val="24"/>
                <w:lang w:bidi="ar"/>
              </w:rPr>
            </w:pPr>
            <w:r>
              <w:rPr>
                <w:rFonts w:hint="eastAsia" w:ascii="Times New Roman" w:hAnsi="Times New Roman"/>
                <w:b/>
                <w:color w:val="C00000"/>
                <w:sz w:val="24"/>
                <w:szCs w:val="24"/>
              </w:rPr>
              <w:t>【教师】</w:t>
            </w:r>
            <w:r>
              <w:rPr>
                <w:rFonts w:hint="eastAsia" w:ascii="宋体" w:hAnsi="宋体" w:cs="宋体"/>
                <w:b/>
                <w:color w:val="C00000"/>
                <w:sz w:val="24"/>
                <w:szCs w:val="24"/>
                <w:lang w:bidi="ar"/>
              </w:rPr>
              <w:t>第一节  沉淀溶解平衡</w:t>
            </w:r>
          </w:p>
          <w:p>
            <w:pPr>
              <w:keepNext w:val="0"/>
              <w:keepLines w:val="0"/>
              <w:widowControl/>
              <w:suppressLineNumbers w:val="0"/>
              <w:spacing w:before="0" w:beforeAutospacing="0" w:after="0" w:afterAutospacing="0" w:line="360" w:lineRule="auto"/>
              <w:ind w:left="0" w:right="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  一、溶解度</w:t>
            </w:r>
          </w:p>
          <w:p>
            <w:pPr>
              <w:keepNext w:val="0"/>
              <w:keepLines w:val="0"/>
              <w:widowControl/>
              <w:suppressLineNumbers w:val="0"/>
              <w:spacing w:before="0" w:beforeAutospacing="0" w:after="0" w:afterAutospacing="0" w:line="360" w:lineRule="auto"/>
              <w:ind w:left="0" w:right="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  溶解性是物质的重要性质之一。人们常以溶解度来定量表明物质的溶解性，溶解度被定义为在一定温度下，达到溶解平衡时，一定量的溶剂中含有溶质的质量。对水溶液来说，通常以饱和溶液中每 </w:t>
            </w:r>
            <w:r>
              <w:rPr>
                <w:rFonts w:hint="default" w:ascii="Times New Roman" w:hAnsi="Times New Roman"/>
                <w:bCs/>
                <w:color w:val="000000" w:themeColor="text1"/>
                <w:sz w:val="24"/>
                <w:szCs w:val="24"/>
                <w14:textFill>
                  <w14:solidFill>
                    <w14:schemeClr w14:val="tx1"/>
                  </w14:solidFill>
                </w14:textFill>
              </w:rPr>
              <w:t xml:space="preserve">100 </w:t>
            </w:r>
            <w:r>
              <w:rPr>
                <w:rFonts w:hint="eastAsia" w:ascii="Times New Roman" w:hAnsi="Times New Roman"/>
                <w:bCs/>
                <w:color w:val="000000" w:themeColor="text1"/>
                <w:sz w:val="24"/>
                <w:szCs w:val="24"/>
                <w14:textFill>
                  <w14:solidFill>
                    <w14:schemeClr w14:val="tx1"/>
                  </w14:solidFill>
                </w14:textFill>
              </w:rPr>
              <w:t xml:space="preserve">克水所含溶质质量来表示。电解质的溶解度往往有很大的差异，习惯上将其划分为易溶、可溶、微溶和难溶等不同的等级。如果在 </w:t>
            </w:r>
            <w:r>
              <w:rPr>
                <w:rFonts w:hint="default" w:ascii="Times New Roman" w:hAnsi="Times New Roman"/>
                <w:bCs/>
                <w:color w:val="000000" w:themeColor="text1"/>
                <w:sz w:val="24"/>
                <w:szCs w:val="24"/>
                <w14:textFill>
                  <w14:solidFill>
                    <w14:schemeClr w14:val="tx1"/>
                  </w14:solidFill>
                </w14:textFill>
              </w:rPr>
              <w:t xml:space="preserve">100 g </w:t>
            </w:r>
            <w:r>
              <w:rPr>
                <w:rFonts w:hint="eastAsia" w:ascii="Times New Roman" w:hAnsi="Times New Roman"/>
                <w:bCs/>
                <w:color w:val="000000" w:themeColor="text1"/>
                <w:sz w:val="24"/>
                <w:szCs w:val="24"/>
                <w14:textFill>
                  <w14:solidFill>
                    <w14:schemeClr w14:val="tx1"/>
                  </w14:solidFill>
                </w14:textFill>
              </w:rPr>
              <w:t xml:space="preserve">水中能溶解 </w:t>
            </w:r>
            <w:r>
              <w:rPr>
                <w:rFonts w:hint="default" w:ascii="Times New Roman" w:hAnsi="Times New Roman"/>
                <w:bCs/>
                <w:color w:val="000000" w:themeColor="text1"/>
                <w:sz w:val="24"/>
                <w:szCs w:val="24"/>
                <w14:textFill>
                  <w14:solidFill>
                    <w14:schemeClr w14:val="tx1"/>
                  </w14:solidFill>
                </w14:textFill>
              </w:rPr>
              <w:t xml:space="preserve">10 g </w:t>
            </w:r>
            <w:r>
              <w:rPr>
                <w:rFonts w:hint="eastAsia" w:ascii="Times New Roman" w:hAnsi="Times New Roman"/>
                <w:bCs/>
                <w:color w:val="000000" w:themeColor="text1"/>
                <w:sz w:val="24"/>
                <w:szCs w:val="24"/>
                <w14:textFill>
                  <w14:solidFill>
                    <w14:schemeClr w14:val="tx1"/>
                  </w14:solidFill>
                </w14:textFill>
              </w:rPr>
              <w:t xml:space="preserve">以上，这种溶质被称为易溶的溶质；物质的溶解度在 </w:t>
            </w:r>
            <w:r>
              <w:rPr>
                <w:rFonts w:hint="default" w:ascii="Times New Roman" w:hAnsi="Times New Roman"/>
                <w:bCs/>
                <w:color w:val="000000" w:themeColor="text1"/>
                <w:sz w:val="24"/>
                <w:szCs w:val="24"/>
                <w14:textFill>
                  <w14:solidFill>
                    <w14:schemeClr w14:val="tx1"/>
                  </w14:solidFill>
                </w14:textFill>
              </w:rPr>
              <w:t>1</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10 g</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100 g H</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 xml:space="preserve">O </w:t>
            </w:r>
            <w:r>
              <w:rPr>
                <w:rFonts w:hint="eastAsia" w:ascii="Times New Roman" w:hAnsi="Times New Roman"/>
                <w:bCs/>
                <w:color w:val="000000" w:themeColor="text1"/>
                <w:sz w:val="24"/>
                <w:szCs w:val="24"/>
                <w14:textFill>
                  <w14:solidFill>
                    <w14:schemeClr w14:val="tx1"/>
                  </w14:solidFill>
                </w14:textFill>
              </w:rPr>
              <w:t xml:space="preserve">的溶质称为可溶的；物质的溶解度小于 </w:t>
            </w:r>
            <w:r>
              <w:rPr>
                <w:rFonts w:hint="default" w:ascii="Times New Roman" w:hAnsi="Times New Roman"/>
                <w:bCs/>
                <w:color w:val="000000" w:themeColor="text1"/>
                <w:sz w:val="24"/>
                <w:szCs w:val="24"/>
                <w14:textFill>
                  <w14:solidFill>
                    <w14:schemeClr w14:val="tx1"/>
                  </w14:solidFill>
                </w14:textFill>
              </w:rPr>
              <w:t>0.1 g</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100 g H</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 xml:space="preserve">O </w:t>
            </w:r>
            <w:r>
              <w:rPr>
                <w:rFonts w:hint="eastAsia" w:ascii="Times New Roman" w:hAnsi="Times New Roman"/>
                <w:bCs/>
                <w:color w:val="000000" w:themeColor="text1"/>
                <w:sz w:val="24"/>
                <w:szCs w:val="24"/>
                <w14:textFill>
                  <w14:solidFill>
                    <w14:schemeClr w14:val="tx1"/>
                  </w14:solidFill>
                </w14:textFill>
              </w:rPr>
              <w:t xml:space="preserve">时，称为难溶的溶度；溶解度介于可溶与难溶之间的，称为微溶。绝对不溶解的物质是不存在的。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学习无机化学，了解无机化合物溶解性是十分重要的。现将常见无机化合物的溶解性总结如下： </w:t>
            </w:r>
          </w:p>
          <w:p>
            <w:pPr>
              <w:keepNext w:val="0"/>
              <w:keepLines w:val="0"/>
              <w:widowControl/>
              <w:suppressLineNumbers w:val="0"/>
              <w:spacing w:before="0" w:beforeAutospacing="0" w:after="0" w:afterAutospacing="0" w:line="360" w:lineRule="auto"/>
              <w:ind w:left="0" w:right="0" w:firstLine="480" w:firstLineChars="200"/>
              <w:jc w:val="left"/>
              <w:rPr>
                <w:rFonts w:hint="eastAsia" w:ascii="Times New Roman" w:hAnsi="Times New Roman"/>
                <w:bCs/>
                <w:color w:val="000000" w:themeColor="text1"/>
                <w:sz w:val="24"/>
                <w:szCs w:val="24"/>
                <w14:textFill>
                  <w14:solidFill>
                    <w14:schemeClr w14:val="tx1"/>
                  </w14:solidFill>
                </w14:textFill>
              </w:rPr>
            </w:pP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firstLineChars="0"/>
              <w:jc w:val="left"/>
              <w:textAlignment w:val="auto"/>
              <w:rPr>
                <w:rFonts w:hint="default" w:ascii="Times New Roman" w:hAnsi="Times New Roman"/>
                <w:bCs/>
                <w:color w:val="000000" w:themeColor="text1"/>
                <w:sz w:val="24"/>
                <w:szCs w:val="24"/>
                <w14:textFill>
                  <w14:solidFill>
                    <w14:schemeClr w14:val="tx1"/>
                  </w14:solidFill>
                </w14:textFill>
              </w:rPr>
            </w:pPr>
            <w:r>
              <w:drawing>
                <wp:inline distT="0" distB="0" distL="114300" distR="114300">
                  <wp:extent cx="4970780" cy="3960495"/>
                  <wp:effectExtent l="0" t="0" r="1270" b="19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4970780" cy="3960495"/>
                          </a:xfrm>
                          <a:prstGeom prst="rect">
                            <a:avLst/>
                          </a:prstGeom>
                          <a:noFill/>
                          <a:ln>
                            <a:noFill/>
                          </a:ln>
                        </pic:spPr>
                      </pic:pic>
                    </a:graphicData>
                  </a:graphic>
                </wp:inline>
              </w:drawing>
            </w:r>
            <w:r>
              <w:rPr>
                <w:rFonts w:hint="eastAsia" w:ascii="Times New Roman" w:hAnsi="Times New Roman"/>
                <w:bCs/>
                <w:color w:val="000000" w:themeColor="text1"/>
                <w:sz w:val="24"/>
                <w:szCs w:val="24"/>
                <w14:textFill>
                  <w14:solidFill>
                    <w14:schemeClr w14:val="tx1"/>
                  </w14:solidFill>
                </w14:textFill>
              </w:rPr>
              <w:t xml:space="preserve">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jc w:val="both"/>
              <w:textAlignment w:val="auto"/>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利用溶解度的差异可以达到分离或提纯物质的目的。本章主要讨论微溶电解质和难溶电解质，它们统称为难溶电解质。</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80" w:lineRule="auto"/>
              <w:ind w:left="0" w:right="0" w:firstLine="482" w:firstLineChars="200"/>
              <w:jc w:val="both"/>
              <w:textAlignment w:val="auto"/>
              <w:rPr>
                <w:rFonts w:hint="default" w:ascii="Times New Roman" w:hAnsi="Times New Roman"/>
                <w:b/>
                <w:bCs w:val="0"/>
                <w:color w:val="000000" w:themeColor="text1"/>
                <w:sz w:val="24"/>
                <w:szCs w:val="24"/>
                <w14:textFill>
                  <w14:solidFill>
                    <w14:schemeClr w14:val="tx1"/>
                  </w14:solidFill>
                </w14:textFill>
              </w:rPr>
            </w:pPr>
            <w:r>
              <w:rPr>
                <w:rFonts w:hint="eastAsia" w:ascii="Times New Roman" w:hAnsi="Times New Roman"/>
                <w:b/>
                <w:bCs w:val="0"/>
                <w:color w:val="000000" w:themeColor="text1"/>
                <w:sz w:val="24"/>
                <w:szCs w:val="24"/>
                <w14:textFill>
                  <w14:solidFill>
                    <w14:schemeClr w14:val="tx1"/>
                  </w14:solidFill>
                </w14:textFill>
              </w:rPr>
              <w:t xml:space="preserve">二、溶度积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jc w:val="both"/>
              <w:textAlignment w:val="auto"/>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在一定温度下，将难溶电解质晶体放入水中，就会发生溶解和沉淀两个过程。以硫酸钡为例， </w:t>
            </w:r>
            <w:r>
              <w:rPr>
                <w:rFonts w:hint="default" w:ascii="Times New Roman" w:hAnsi="Times New Roman"/>
                <w:bCs/>
                <w:color w:val="000000" w:themeColor="text1"/>
                <w:sz w:val="24"/>
                <w:szCs w:val="24"/>
                <w14:textFill>
                  <w14:solidFill>
                    <w14:schemeClr w14:val="tx1"/>
                  </w14:solidFill>
                </w14:textFill>
              </w:rPr>
              <w:t>BaSO</w:t>
            </w:r>
            <w:r>
              <w:rPr>
                <w:rFonts w:hint="default" w:ascii="Times New Roman" w:hAnsi="Times New Roman"/>
                <w:bCs/>
                <w:color w:val="000000" w:themeColor="text1"/>
                <w:sz w:val="24"/>
                <w:szCs w:val="24"/>
                <w:vertAlign w:val="subscript"/>
                <w14:textFill>
                  <w14:solidFill>
                    <w14:schemeClr w14:val="tx1"/>
                  </w14:solidFill>
                </w14:textFill>
              </w:rPr>
              <w:t>4</w:t>
            </w:r>
            <w:r>
              <w:rPr>
                <w:rFonts w:hint="default" w:ascii="Times New Roman" w:hAnsi="Times New Roman"/>
                <w:bCs/>
                <w:color w:val="000000" w:themeColor="text1"/>
                <w:sz w:val="24"/>
                <w:szCs w:val="24"/>
                <w14:textFill>
                  <w14:solidFill>
                    <w14:schemeClr w14:val="tx1"/>
                  </w14:solidFill>
                </w14:textFill>
              </w:rPr>
              <w:t xml:space="preserve"> (s) </w:t>
            </w:r>
            <w:r>
              <w:rPr>
                <w:rFonts w:hint="eastAsia" w:ascii="Times New Roman" w:hAnsi="Times New Roman"/>
                <w:bCs/>
                <w:color w:val="000000" w:themeColor="text1"/>
                <w:sz w:val="24"/>
                <w:szCs w:val="24"/>
                <w14:textFill>
                  <w14:solidFill>
                    <w14:schemeClr w14:val="tx1"/>
                  </w14:solidFill>
                </w14:textFill>
              </w:rPr>
              <w:t xml:space="preserve">是由 </w:t>
            </w:r>
            <w:r>
              <w:rPr>
                <w:rFonts w:hint="default" w:ascii="Times New Roman" w:hAnsi="Times New Roman"/>
                <w:bCs/>
                <w:color w:val="000000" w:themeColor="text1"/>
                <w:sz w:val="24"/>
                <w:szCs w:val="24"/>
                <w14:textFill>
                  <w14:solidFill>
                    <w14:schemeClr w14:val="tx1"/>
                  </w14:solidFill>
                </w14:textFill>
              </w:rPr>
              <w:t>Ba</w:t>
            </w:r>
            <w:r>
              <w:rPr>
                <w:rFonts w:hint="default" w:ascii="Times New Roman" w:hAnsi="Times New Roman"/>
                <w:bCs/>
                <w:color w:val="000000" w:themeColor="text1"/>
                <w:sz w:val="24"/>
                <w:szCs w:val="24"/>
                <w:vertAlign w:val="superscript"/>
                <w14:textFill>
                  <w14:solidFill>
                    <w14:schemeClr w14:val="tx1"/>
                  </w14:solidFill>
                </w14:textFill>
              </w:rPr>
              <w:t>2+</w:t>
            </w:r>
            <w:r>
              <w:rPr>
                <w:rFonts w:hint="eastAsia" w:ascii="Times New Roman" w:hAnsi="Times New Roman"/>
                <w:bCs/>
                <w:color w:val="000000" w:themeColor="text1"/>
                <w:sz w:val="24"/>
                <w:szCs w:val="24"/>
                <w14:textFill>
                  <w14:solidFill>
                    <w14:schemeClr w14:val="tx1"/>
                  </w14:solidFill>
                </w14:textFill>
              </w:rPr>
              <w:t xml:space="preserve">和 </w:t>
            </w:r>
            <w:r>
              <w:rPr>
                <w:rFonts w:hint="default" w:ascii="Times New Roman" w:hAnsi="Times New Roman"/>
                <w:bCs/>
                <w:color w:val="000000" w:themeColor="text1"/>
                <w:sz w:val="24"/>
                <w:szCs w:val="24"/>
                <w14:textFill>
                  <w14:solidFill>
                    <w14:schemeClr w14:val="tx1"/>
                  </w14:solidFill>
                </w14:textFill>
              </w:rPr>
              <w:t>SO</w:t>
            </w:r>
            <w:r>
              <w:rPr>
                <w:rFonts w:hint="default" w:ascii="Times New Roman" w:hAnsi="Times New Roman"/>
                <w:bCs/>
                <w:color w:val="000000" w:themeColor="text1"/>
                <w:sz w:val="24"/>
                <w:szCs w:val="24"/>
                <w:vertAlign w:val="subscript"/>
                <w14:textFill>
                  <w14:solidFill>
                    <w14:schemeClr w14:val="tx1"/>
                  </w14:solidFill>
                </w14:textFill>
              </w:rPr>
              <w:t>4</w:t>
            </w:r>
            <w:r>
              <w:rPr>
                <w:rFonts w:hint="default" w:ascii="Times New Roman" w:hAnsi="Times New Roman"/>
                <w:bCs/>
                <w:color w:val="000000" w:themeColor="text1"/>
                <w:sz w:val="24"/>
                <w:szCs w:val="24"/>
                <w:vertAlign w:val="superscript"/>
                <w14:textFill>
                  <w14:solidFill>
                    <w14:schemeClr w14:val="tx1"/>
                  </w14:solidFill>
                </w14:textFill>
              </w:rPr>
              <w:t>2-</w:t>
            </w:r>
            <w:r>
              <w:rPr>
                <w:rFonts w:hint="eastAsia" w:ascii="Times New Roman" w:hAnsi="Times New Roman"/>
                <w:bCs/>
                <w:color w:val="000000" w:themeColor="text1"/>
                <w:sz w:val="24"/>
                <w:szCs w:val="24"/>
                <w14:textFill>
                  <w14:solidFill>
                    <w14:schemeClr w14:val="tx1"/>
                  </w14:solidFill>
                </w14:textFill>
              </w:rPr>
              <w:t>组成的晶体，将其放入水中时，晶体中的</w:t>
            </w:r>
            <w:r>
              <w:rPr>
                <w:rFonts w:hint="default" w:ascii="Times New Roman" w:hAnsi="Times New Roman"/>
                <w:bCs/>
                <w:color w:val="000000" w:themeColor="text1"/>
                <w:sz w:val="24"/>
                <w:szCs w:val="24"/>
                <w14:textFill>
                  <w14:solidFill>
                    <w14:schemeClr w14:val="tx1"/>
                  </w14:solidFill>
                </w14:textFill>
              </w:rPr>
              <w:t>Ba</w:t>
            </w:r>
            <w:r>
              <w:rPr>
                <w:rFonts w:hint="default" w:ascii="Times New Roman" w:hAnsi="Times New Roman"/>
                <w:bCs/>
                <w:color w:val="000000" w:themeColor="text1"/>
                <w:sz w:val="24"/>
                <w:szCs w:val="24"/>
                <w:vertAlign w:val="superscript"/>
                <w14:textFill>
                  <w14:solidFill>
                    <w14:schemeClr w14:val="tx1"/>
                  </w14:solidFill>
                </w14:textFill>
              </w:rPr>
              <w:t>2+</w:t>
            </w:r>
            <w:r>
              <w:rPr>
                <w:rFonts w:hint="eastAsia" w:ascii="Times New Roman" w:hAnsi="Times New Roman"/>
                <w:bCs/>
                <w:color w:val="000000" w:themeColor="text1"/>
                <w:sz w:val="24"/>
                <w:szCs w:val="24"/>
                <w14:textFill>
                  <w14:solidFill>
                    <w14:schemeClr w14:val="tx1"/>
                  </w14:solidFill>
                </w14:textFill>
              </w:rPr>
              <w:t xml:space="preserve">和 </w:t>
            </w:r>
            <w:r>
              <w:rPr>
                <w:rFonts w:hint="default" w:ascii="Times New Roman" w:hAnsi="Times New Roman"/>
                <w:bCs/>
                <w:color w:val="000000" w:themeColor="text1"/>
                <w:sz w:val="24"/>
                <w:szCs w:val="24"/>
                <w14:textFill>
                  <w14:solidFill>
                    <w14:schemeClr w14:val="tx1"/>
                  </w14:solidFill>
                </w14:textFill>
              </w:rPr>
              <w:t>SO</w:t>
            </w:r>
            <w:r>
              <w:rPr>
                <w:rFonts w:hint="default" w:ascii="Times New Roman" w:hAnsi="Times New Roman"/>
                <w:bCs/>
                <w:color w:val="000000" w:themeColor="text1"/>
                <w:sz w:val="24"/>
                <w:szCs w:val="24"/>
                <w:vertAlign w:val="subscript"/>
                <w14:textFill>
                  <w14:solidFill>
                    <w14:schemeClr w14:val="tx1"/>
                  </w14:solidFill>
                </w14:textFill>
              </w:rPr>
              <w:t>4</w:t>
            </w:r>
            <w:r>
              <w:rPr>
                <w:rFonts w:hint="default" w:ascii="Times New Roman" w:hAnsi="Times New Roman"/>
                <w:bCs/>
                <w:color w:val="000000" w:themeColor="text1"/>
                <w:sz w:val="24"/>
                <w:szCs w:val="24"/>
                <w:vertAlign w:val="superscript"/>
                <w14:textFill>
                  <w14:solidFill>
                    <w14:schemeClr w14:val="tx1"/>
                  </w14:solidFill>
                </w14:textFill>
              </w:rPr>
              <w:t>2-</w:t>
            </w:r>
            <w:r>
              <w:rPr>
                <w:rFonts w:hint="eastAsia" w:ascii="Times New Roman" w:hAnsi="Times New Roman"/>
                <w:bCs/>
                <w:color w:val="000000" w:themeColor="text1"/>
                <w:sz w:val="24"/>
                <w:szCs w:val="24"/>
                <w14:textFill>
                  <w14:solidFill>
                    <w14:schemeClr w14:val="tx1"/>
                  </w14:solidFill>
                </w14:textFill>
              </w:rPr>
              <w:t>在水分子的作用（碰撞和吸引）下，不断由晶体表面进入溶液中，成为无规则运动的水合离子，这是</w:t>
            </w:r>
            <w:r>
              <w:rPr>
                <w:rFonts w:hint="default" w:ascii="Times New Roman" w:hAnsi="Times New Roman"/>
                <w:bCs/>
                <w:color w:val="000000" w:themeColor="text1"/>
                <w:sz w:val="24"/>
                <w:szCs w:val="24"/>
                <w14:textFill>
                  <w14:solidFill>
                    <w14:schemeClr w14:val="tx1"/>
                  </w14:solidFill>
                </w14:textFill>
              </w:rPr>
              <w:t>BaSO</w:t>
            </w:r>
            <w:r>
              <w:rPr>
                <w:rFonts w:hint="default" w:ascii="Times New Roman" w:hAnsi="Times New Roman"/>
                <w:bCs/>
                <w:color w:val="000000" w:themeColor="text1"/>
                <w:sz w:val="24"/>
                <w:szCs w:val="24"/>
                <w:vertAlign w:val="subscript"/>
                <w14:textFill>
                  <w14:solidFill>
                    <w14:schemeClr w14:val="tx1"/>
                  </w14:solidFill>
                </w14:textFill>
              </w:rPr>
              <w:t>4</w:t>
            </w:r>
            <w:r>
              <w:rPr>
                <w:rFonts w:hint="default" w:ascii="Times New Roman" w:hAnsi="Times New Roman"/>
                <w:bCs/>
                <w:color w:val="000000" w:themeColor="text1"/>
                <w:sz w:val="24"/>
                <w:szCs w:val="24"/>
                <w14:textFill>
                  <w14:solidFill>
                    <w14:schemeClr w14:val="tx1"/>
                  </w14:solidFill>
                </w14:textFill>
              </w:rPr>
              <w:t xml:space="preserve"> (s) </w:t>
            </w:r>
            <w:r>
              <w:rPr>
                <w:rFonts w:hint="eastAsia" w:ascii="Times New Roman" w:hAnsi="Times New Roman"/>
                <w:bCs/>
                <w:color w:val="000000" w:themeColor="text1"/>
                <w:sz w:val="24"/>
                <w:szCs w:val="24"/>
                <w14:textFill>
                  <w14:solidFill>
                    <w14:schemeClr w14:val="tx1"/>
                  </w14:solidFill>
                </w14:textFill>
              </w:rPr>
              <w:t xml:space="preserve">的溶解过程。与此同时，已经溶解在溶液中的  </w:t>
            </w:r>
            <w:r>
              <w:rPr>
                <w:rFonts w:hint="default" w:ascii="Times New Roman" w:hAnsi="Times New Roman"/>
                <w:bCs/>
                <w:color w:val="000000" w:themeColor="text1"/>
                <w:sz w:val="24"/>
                <w:szCs w:val="24"/>
                <w14:textFill>
                  <w14:solidFill>
                    <w14:schemeClr w14:val="tx1"/>
                  </w14:solidFill>
                </w14:textFill>
              </w:rPr>
              <w:t>Ba</w:t>
            </w:r>
            <w:r>
              <w:rPr>
                <w:rFonts w:hint="default" w:ascii="Times New Roman" w:hAnsi="Times New Roman"/>
                <w:bCs/>
                <w:color w:val="000000" w:themeColor="text1"/>
                <w:sz w:val="24"/>
                <w:szCs w:val="24"/>
                <w:vertAlign w:val="super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 xml:space="preserve"> (aq)</w:t>
            </w:r>
            <w:r>
              <w:rPr>
                <w:rFonts w:hint="eastAsia" w:ascii="Times New Roman" w:hAnsi="Times New Roman"/>
                <w:bCs/>
                <w:color w:val="000000" w:themeColor="text1"/>
                <w:sz w:val="24"/>
                <w:szCs w:val="24"/>
                <w14:textFill>
                  <w14:solidFill>
                    <w14:schemeClr w14:val="tx1"/>
                  </w14:solidFill>
                </w14:textFill>
              </w:rPr>
              <w:t>和</w:t>
            </w:r>
            <w:r>
              <w:rPr>
                <w:rFonts w:hint="default" w:ascii="Times New Roman" w:hAnsi="Times New Roman"/>
                <w:bCs/>
                <w:color w:val="000000" w:themeColor="text1"/>
                <w:sz w:val="24"/>
                <w:szCs w:val="24"/>
                <w14:textFill>
                  <w14:solidFill>
                    <w14:schemeClr w14:val="tx1"/>
                  </w14:solidFill>
                </w14:textFill>
              </w:rPr>
              <w:t>SO</w:t>
            </w:r>
            <w:r>
              <w:rPr>
                <w:rFonts w:hint="default" w:ascii="Times New Roman" w:hAnsi="Times New Roman"/>
                <w:bCs/>
                <w:color w:val="000000" w:themeColor="text1"/>
                <w:sz w:val="24"/>
                <w:szCs w:val="24"/>
                <w:vertAlign w:val="subscript"/>
                <w14:textFill>
                  <w14:solidFill>
                    <w14:schemeClr w14:val="tx1"/>
                  </w14:solidFill>
                </w14:textFill>
              </w:rPr>
              <w:t>4</w:t>
            </w:r>
            <w:r>
              <w:rPr>
                <w:rFonts w:hint="default" w:ascii="Times New Roman" w:hAnsi="Times New Roman"/>
                <w:bCs/>
                <w:color w:val="000000" w:themeColor="text1"/>
                <w:sz w:val="24"/>
                <w:szCs w:val="24"/>
                <w:vertAlign w:val="super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 xml:space="preserve"> (aq)</w:t>
            </w:r>
            <w:r>
              <w:rPr>
                <w:rFonts w:hint="eastAsia" w:ascii="Times New Roman" w:hAnsi="Times New Roman"/>
                <w:bCs/>
                <w:color w:val="000000" w:themeColor="text1"/>
                <w:sz w:val="24"/>
                <w:szCs w:val="24"/>
                <w14:textFill>
                  <w14:solidFill>
                    <w14:schemeClr w14:val="tx1"/>
                  </w14:solidFill>
                </w14:textFill>
              </w:rPr>
              <w:t>在不断运动中相互碰撞或与未溶解的</w:t>
            </w:r>
            <w:r>
              <w:rPr>
                <w:rFonts w:hint="default" w:ascii="Times New Roman" w:hAnsi="Times New Roman"/>
                <w:bCs/>
                <w:color w:val="000000" w:themeColor="text1"/>
                <w:sz w:val="24"/>
                <w:szCs w:val="24"/>
                <w14:textFill>
                  <w14:solidFill>
                    <w14:schemeClr w14:val="tx1"/>
                  </w14:solidFill>
                </w14:textFill>
              </w:rPr>
              <w:t>BaSO</w:t>
            </w:r>
            <w:r>
              <w:rPr>
                <w:rFonts w:hint="default" w:ascii="Times New Roman" w:hAnsi="Times New Roman"/>
                <w:bCs/>
                <w:color w:val="000000" w:themeColor="text1"/>
                <w:sz w:val="24"/>
                <w:szCs w:val="24"/>
                <w:vertAlign w:val="subscript"/>
                <w14:textFill>
                  <w14:solidFill>
                    <w14:schemeClr w14:val="tx1"/>
                  </w14:solidFill>
                </w14:textFill>
              </w:rPr>
              <w:t>4</w:t>
            </w:r>
            <w:r>
              <w:rPr>
                <w:rFonts w:hint="default" w:ascii="Times New Roman" w:hAnsi="Times New Roman"/>
                <w:bCs/>
                <w:color w:val="000000" w:themeColor="text1"/>
                <w:sz w:val="24"/>
                <w:szCs w:val="24"/>
                <w14:textFill>
                  <w14:solidFill>
                    <w14:schemeClr w14:val="tx1"/>
                  </w14:solidFill>
                </w14:textFill>
              </w:rPr>
              <w:t xml:space="preserve"> (s) </w:t>
            </w:r>
            <w:r>
              <w:rPr>
                <w:rFonts w:hint="eastAsia" w:ascii="Times New Roman" w:hAnsi="Times New Roman"/>
                <w:bCs/>
                <w:color w:val="000000" w:themeColor="text1"/>
                <w:sz w:val="24"/>
                <w:szCs w:val="24"/>
                <w14:textFill>
                  <w14:solidFill>
                    <w14:schemeClr w14:val="tx1"/>
                  </w14:solidFill>
                </w14:textFill>
              </w:rPr>
              <w:t>表面碰撞，一部分又被异电荷吸引而以固体</w:t>
            </w:r>
            <w:r>
              <w:rPr>
                <w:rFonts w:hint="default" w:ascii="Times New Roman" w:hAnsi="Times New Roman"/>
                <w:bCs/>
                <w:color w:val="000000" w:themeColor="text1"/>
                <w:sz w:val="24"/>
                <w:szCs w:val="24"/>
                <w14:textFill>
                  <w14:solidFill>
                    <w14:schemeClr w14:val="tx1"/>
                  </w14:solidFill>
                </w14:textFill>
              </w:rPr>
              <w:t>BaSO</w:t>
            </w:r>
            <w:r>
              <w:rPr>
                <w:rFonts w:hint="default" w:ascii="Times New Roman" w:hAnsi="Times New Roman"/>
                <w:bCs/>
                <w:color w:val="000000" w:themeColor="text1"/>
                <w:sz w:val="24"/>
                <w:szCs w:val="24"/>
                <w:vertAlign w:val="subscript"/>
                <w14:textFill>
                  <w14:solidFill>
                    <w14:schemeClr w14:val="tx1"/>
                  </w14:solidFill>
                </w14:textFill>
              </w:rPr>
              <w:t>4</w:t>
            </w:r>
            <w:r>
              <w:rPr>
                <w:rFonts w:hint="eastAsia" w:ascii="Times New Roman" w:hAnsi="Times New Roman"/>
                <w:bCs/>
                <w:color w:val="000000" w:themeColor="text1"/>
                <w:sz w:val="24"/>
                <w:szCs w:val="24"/>
                <w14:textFill>
                  <w14:solidFill>
                    <w14:schemeClr w14:val="tx1"/>
                  </w14:solidFill>
                </w14:textFill>
              </w:rPr>
              <w:t>沉淀的形式析出，这是</w:t>
            </w:r>
            <w:r>
              <w:rPr>
                <w:rFonts w:hint="default" w:ascii="Times New Roman" w:hAnsi="Times New Roman"/>
                <w:bCs/>
                <w:color w:val="000000" w:themeColor="text1"/>
                <w:sz w:val="24"/>
                <w:szCs w:val="24"/>
                <w14:textFill>
                  <w14:solidFill>
                    <w14:schemeClr w14:val="tx1"/>
                  </w14:solidFill>
                </w14:textFill>
              </w:rPr>
              <w:t>BaSO</w:t>
            </w:r>
            <w:r>
              <w:rPr>
                <w:rFonts w:hint="default" w:ascii="Times New Roman" w:hAnsi="Times New Roman"/>
                <w:bCs/>
                <w:color w:val="000000" w:themeColor="text1"/>
                <w:sz w:val="24"/>
                <w:szCs w:val="24"/>
                <w:vertAlign w:val="subscript"/>
                <w14:textFill>
                  <w14:solidFill>
                    <w14:schemeClr w14:val="tx1"/>
                  </w14:solidFill>
                </w14:textFill>
              </w:rPr>
              <w:t>4</w:t>
            </w:r>
            <w:r>
              <w:rPr>
                <w:rFonts w:hint="default" w:ascii="Times New Roman" w:hAnsi="Times New Roman"/>
                <w:bCs/>
                <w:color w:val="000000" w:themeColor="text1"/>
                <w:sz w:val="24"/>
                <w:szCs w:val="24"/>
                <w14:textFill>
                  <w14:solidFill>
                    <w14:schemeClr w14:val="tx1"/>
                  </w14:solidFill>
                </w14:textFill>
              </w:rPr>
              <w:t xml:space="preserve"> (s) </w:t>
            </w:r>
            <w:r>
              <w:rPr>
                <w:rFonts w:hint="eastAsia" w:ascii="Times New Roman" w:hAnsi="Times New Roman"/>
                <w:bCs/>
                <w:color w:val="000000" w:themeColor="text1"/>
                <w:sz w:val="24"/>
                <w:szCs w:val="24"/>
                <w14:textFill>
                  <w14:solidFill>
                    <w14:schemeClr w14:val="tx1"/>
                  </w14:solidFill>
                </w14:textFill>
              </w:rPr>
              <w:t>的沉淀过程或结晶。任何难溶电解质的溶解和沉淀过程都是可逆的。</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jc w:val="both"/>
              <w:textAlignment w:val="auto"/>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在一定温度下，难溶电解质的溶解速率与沉淀速率相等时的状态，称为沉淀 - 溶解平衡。此时，溶液中各种离子的浓度不随时间而变，形成饱和溶液。</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jc w:val="both"/>
              <w:textAlignment w:val="auto"/>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当然，溶度积常数也与固体的晶型有关。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jc w:val="both"/>
              <w:textAlignment w:val="auto"/>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物质的溶度积常数，在附录中可查得。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jc w:val="both"/>
              <w:textAlignment w:val="auto"/>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在多相离子平衡体系中，必须有未溶解的固相存在，否则就不能保证系统处于平衡状态。有时这种动态平衡需要有足够的时间（甚至几天或更长）才能达到。溶度积 </w:t>
            </w:r>
            <w:r>
              <w:rPr>
                <w:rFonts w:hint="default" w:ascii="Times New Roman" w:hAnsi="Times New Roman"/>
                <w:bCs/>
                <w:i/>
                <w:iCs/>
                <w:color w:val="000000" w:themeColor="text1"/>
                <w:sz w:val="24"/>
                <w:szCs w:val="24"/>
                <w14:textFill>
                  <w14:solidFill>
                    <w14:schemeClr w14:val="tx1"/>
                  </w14:solidFill>
                </w14:textFill>
              </w:rPr>
              <w:t>K</w:t>
            </w:r>
            <w:r>
              <w:rPr>
                <w:rFonts w:hint="default" w:ascii="Times New Roman" w:hAnsi="Times New Roman"/>
                <w:bCs/>
                <w:color w:val="000000" w:themeColor="text1"/>
                <w:sz w:val="24"/>
                <w:szCs w:val="24"/>
                <w14:textFill>
                  <w14:solidFill>
                    <w14:schemeClr w14:val="tx1"/>
                  </w14:solidFill>
                </w14:textFill>
              </w:rPr>
              <w:t xml:space="preserve">sp Θ </w:t>
            </w:r>
            <w:r>
              <w:rPr>
                <w:rFonts w:hint="eastAsia" w:ascii="Times New Roman" w:hAnsi="Times New Roman"/>
                <w:bCs/>
                <w:color w:val="000000" w:themeColor="text1"/>
                <w:sz w:val="24"/>
                <w:szCs w:val="24"/>
                <w14:textFill>
                  <w14:solidFill>
                    <w14:schemeClr w14:val="tx1"/>
                  </w14:solidFill>
                </w14:textFill>
              </w:rPr>
              <w:t>是反映难溶电解质溶解性的特征常数。对于相同类型的难溶电解质，溶度积大的溶解度较大，溶解能力强。因此，通过溶度积常数可以比较相同类型难溶电解质溶解度的大小。不同类型的电解质，则不能直接用溶度积数据比较其溶解性，而需要换算成溶解度后再比较。</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80" w:lineRule="auto"/>
              <w:ind w:left="0" w:right="0" w:firstLine="482" w:firstLineChars="200"/>
              <w:jc w:val="both"/>
              <w:textAlignment w:val="auto"/>
              <w:rPr>
                <w:rFonts w:hint="default" w:ascii="Times New Roman" w:hAnsi="Times New Roman"/>
                <w:b/>
                <w:bCs w:val="0"/>
                <w:color w:val="000000" w:themeColor="text1"/>
                <w:sz w:val="24"/>
                <w:szCs w:val="24"/>
                <w14:textFill>
                  <w14:solidFill>
                    <w14:schemeClr w14:val="tx1"/>
                  </w14:solidFill>
                </w14:textFill>
              </w:rPr>
            </w:pPr>
            <w:r>
              <w:rPr>
                <w:rFonts w:hint="eastAsia" w:ascii="Times New Roman" w:hAnsi="Times New Roman"/>
                <w:b/>
                <w:bCs w:val="0"/>
                <w:color w:val="000000" w:themeColor="text1"/>
                <w:sz w:val="24"/>
                <w:szCs w:val="24"/>
                <w14:textFill>
                  <w14:solidFill>
                    <w14:schemeClr w14:val="tx1"/>
                  </w14:solidFill>
                </w14:textFill>
              </w:rPr>
              <w:t xml:space="preserve">三、溶度积和溶解度之间的换算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jc w:val="both"/>
              <w:textAlignment w:val="auto"/>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溶度积和溶解度都可以用来表示难溶电解质的溶解性。两者既有联系，又有区别。从相互联系考虑，它们之间可以相互换算，即可以从溶解度求得溶度积，也可以从溶度积求得溶解度。溶解度 </w:t>
            </w:r>
            <w:r>
              <w:rPr>
                <w:rFonts w:hint="default" w:ascii="Times New Roman" w:hAnsi="Times New Roman"/>
                <w:bCs/>
                <w:i/>
                <w:iCs/>
                <w:color w:val="000000" w:themeColor="text1"/>
                <w:sz w:val="24"/>
                <w:szCs w:val="24"/>
                <w14:textFill>
                  <w14:solidFill>
                    <w14:schemeClr w14:val="tx1"/>
                  </w14:solidFill>
                </w14:textFill>
              </w:rPr>
              <w:t xml:space="preserve">S </w:t>
            </w:r>
            <w:r>
              <w:rPr>
                <w:rFonts w:hint="eastAsia" w:ascii="Times New Roman" w:hAnsi="Times New Roman"/>
                <w:bCs/>
                <w:color w:val="000000" w:themeColor="text1"/>
                <w:sz w:val="24"/>
                <w:szCs w:val="24"/>
                <w14:textFill>
                  <w14:solidFill>
                    <w14:schemeClr w14:val="tx1"/>
                  </w14:solidFill>
                </w14:textFill>
              </w:rPr>
              <w:t xml:space="preserve">指在一定温度下饱和溶液的浓度。在有关溶度积的计算中，离子浓度必须是物质的量浓度，其单位为 </w:t>
            </w:r>
            <w:r>
              <w:rPr>
                <w:rFonts w:hint="default" w:ascii="Times New Roman" w:hAnsi="Times New Roman"/>
                <w:bCs/>
                <w:color w:val="000000" w:themeColor="text1"/>
                <w:sz w:val="24"/>
                <w:szCs w:val="24"/>
                <w14:textFill>
                  <w14:solidFill>
                    <w14:schemeClr w14:val="tx1"/>
                  </w14:solidFill>
                </w14:textFill>
              </w:rPr>
              <w:t>mol L</w:t>
            </w:r>
            <w:r>
              <w:rPr>
                <w:rFonts w:hint="default" w:ascii="Cambria Math" w:hAnsi="Cambria Math" w:cs="Cambria Math"/>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 xml:space="preserve"> </w:t>
            </w:r>
            <w:r>
              <w:rPr>
                <w:rFonts w:hint="default" w:ascii="Times New Roman" w:hAnsi="Times New Roman"/>
                <w:bCs/>
                <w:color w:val="000000" w:themeColor="text1"/>
                <w:sz w:val="24"/>
                <w:szCs w:val="24"/>
                <w:vertAlign w:val="superscript"/>
                <w14:textFill>
                  <w14:solidFill>
                    <w14:schemeClr w14:val="tx1"/>
                  </w14:solidFill>
                </w14:textFill>
              </w:rPr>
              <w:t>−1</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，而通常的溶解度的单位往往是</w:t>
            </w:r>
            <w:r>
              <w:rPr>
                <w:rFonts w:hint="default" w:ascii="Times New Roman" w:hAnsi="Times New Roman"/>
                <w:bCs/>
                <w:color w:val="000000" w:themeColor="text1"/>
                <w:sz w:val="24"/>
                <w:szCs w:val="24"/>
                <w14:textFill>
                  <w14:solidFill>
                    <w14:schemeClr w14:val="tx1"/>
                  </w14:solidFill>
                </w14:textFill>
              </w:rPr>
              <w:t xml:space="preserve">g /100 g </w:t>
            </w:r>
            <w:r>
              <w:rPr>
                <w:rFonts w:hint="eastAsia" w:ascii="Times New Roman" w:hAnsi="Times New Roman"/>
                <w:bCs/>
                <w:color w:val="000000" w:themeColor="text1"/>
                <w:sz w:val="24"/>
                <w:szCs w:val="24"/>
                <w14:textFill>
                  <w14:solidFill>
                    <w14:schemeClr w14:val="tx1"/>
                  </w14:solidFill>
                </w14:textFill>
              </w:rPr>
              <w:t xml:space="preserve">水，有时也使用 </w:t>
            </w:r>
            <w:r>
              <w:rPr>
                <w:rFonts w:hint="default" w:ascii="Times New Roman" w:hAnsi="Times New Roman"/>
                <w:bCs/>
                <w:color w:val="000000" w:themeColor="text1"/>
                <w:sz w:val="24"/>
                <w:szCs w:val="24"/>
                <w14:textFill>
                  <w14:solidFill>
                    <w14:schemeClr w14:val="tx1"/>
                  </w14:solidFill>
                </w14:textFill>
              </w:rPr>
              <w:t>g L</w:t>
            </w:r>
            <w:r>
              <w:rPr>
                <w:rFonts w:hint="default" w:ascii="Cambria Math" w:hAnsi="Cambria Math" w:cs="Cambria Math"/>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vertAlign w:val="superscript"/>
                <w14:textFill>
                  <w14:solidFill>
                    <w14:schemeClr w14:val="tx1"/>
                  </w14:solidFill>
                </w14:textFill>
              </w:rPr>
              <w:t xml:space="preserve"> −1</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 xml:space="preserve">或  </w:t>
            </w:r>
            <w:r>
              <w:rPr>
                <w:rFonts w:hint="default" w:ascii="Times New Roman" w:hAnsi="Times New Roman"/>
                <w:bCs/>
                <w:color w:val="000000" w:themeColor="text1"/>
                <w:sz w:val="24"/>
                <w:szCs w:val="24"/>
                <w14:textFill>
                  <w14:solidFill>
                    <w14:schemeClr w14:val="tx1"/>
                  </w14:solidFill>
                </w14:textFill>
              </w:rPr>
              <w:t>mol L</w:t>
            </w:r>
            <w:r>
              <w:rPr>
                <w:rFonts w:hint="default" w:ascii="Cambria Math" w:hAnsi="Cambria Math" w:cs="Cambria Math"/>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 xml:space="preserve"> </w:t>
            </w:r>
            <w:r>
              <w:rPr>
                <w:rFonts w:hint="default" w:ascii="Times New Roman" w:hAnsi="Times New Roman"/>
                <w:bCs/>
                <w:color w:val="000000" w:themeColor="text1"/>
                <w:sz w:val="24"/>
                <w:szCs w:val="24"/>
                <w:vertAlign w:val="superscript"/>
                <w14:textFill>
                  <w14:solidFill>
                    <w14:schemeClr w14:val="tx1"/>
                  </w14:solidFill>
                </w14:textFill>
              </w:rPr>
              <w:t>−1</w:t>
            </w:r>
            <w:r>
              <w:rPr>
                <w:rFonts w:hint="eastAsia" w:ascii="Times New Roman" w:hAnsi="Times New Roman"/>
                <w:bCs/>
                <w:color w:val="000000" w:themeColor="text1"/>
                <w:sz w:val="24"/>
                <w:szCs w:val="24"/>
                <w14:textFill>
                  <w14:solidFill>
                    <w14:schemeClr w14:val="tx1"/>
                  </w14:solidFill>
                </w14:textFill>
              </w:rPr>
              <w:t xml:space="preserve">。因此，计算时要先将难溶电解质的溶解度 </w:t>
            </w:r>
            <w:r>
              <w:rPr>
                <w:rFonts w:hint="default" w:ascii="Times New Roman" w:hAnsi="Times New Roman"/>
                <w:bCs/>
                <w:i/>
                <w:iCs/>
                <w:color w:val="000000" w:themeColor="text1"/>
                <w:sz w:val="24"/>
                <w:szCs w:val="24"/>
                <w14:textFill>
                  <w14:solidFill>
                    <w14:schemeClr w14:val="tx1"/>
                  </w14:solidFill>
                </w14:textFill>
              </w:rPr>
              <w:t>S</w:t>
            </w:r>
            <w:r>
              <w:rPr>
                <w:rFonts w:hint="eastAsia" w:ascii="Times New Roman" w:hAnsi="Times New Roman"/>
                <w:bCs/>
                <w:color w:val="000000" w:themeColor="text1"/>
                <w:sz w:val="24"/>
                <w:szCs w:val="24"/>
                <w14:textFill>
                  <w14:solidFill>
                    <w14:schemeClr w14:val="tx1"/>
                  </w14:solidFill>
                </w14:textFill>
              </w:rPr>
              <w:t xml:space="preserve">的单位换算为 </w:t>
            </w:r>
            <w:r>
              <w:rPr>
                <w:rFonts w:hint="default" w:ascii="Times New Roman" w:hAnsi="Times New Roman"/>
                <w:bCs/>
                <w:color w:val="000000" w:themeColor="text1"/>
                <w:sz w:val="24"/>
                <w:szCs w:val="24"/>
                <w14:textFill>
                  <w14:solidFill>
                    <w14:schemeClr w14:val="tx1"/>
                  </w14:solidFill>
                </w14:textFill>
              </w:rPr>
              <w:t>mol L</w:t>
            </w:r>
            <w:r>
              <w:rPr>
                <w:rFonts w:hint="default" w:ascii="Cambria Math" w:hAnsi="Cambria Math" w:cs="Cambria Math"/>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 xml:space="preserve"> </w:t>
            </w:r>
            <w:r>
              <w:rPr>
                <w:rFonts w:hint="default" w:ascii="Times New Roman" w:hAnsi="Times New Roman"/>
                <w:bCs/>
                <w:color w:val="000000" w:themeColor="text1"/>
                <w:sz w:val="24"/>
                <w:szCs w:val="24"/>
                <w:vertAlign w:val="superscript"/>
                <w14:textFill>
                  <w14:solidFill>
                    <w14:schemeClr w14:val="tx1"/>
                  </w14:solidFill>
                </w14:textFill>
              </w:rPr>
              <w:t>−1</w:t>
            </w:r>
            <w:r>
              <w:rPr>
                <w:rFonts w:hint="eastAsia" w:ascii="Times New Roman" w:hAnsi="Times New Roman"/>
                <w:bCs/>
                <w:color w:val="000000" w:themeColor="text1"/>
                <w:sz w:val="24"/>
                <w:szCs w:val="24"/>
                <w14:textFill>
                  <w14:solidFill>
                    <w14:schemeClr w14:val="tx1"/>
                  </w14:solidFill>
                </w14:textFill>
              </w:rPr>
              <w:t>。对难溶电解质溶液来说，其饱和溶液是极稀的溶液，可将溶剂水的体积看作与饱和溶液的体积相等。这样就很便捷地计算出饱和溶液浓度，并进而得出溶度积。</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jc w:val="both"/>
              <w:textAlignment w:val="auto"/>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（一）AB 型难溶电解质</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jc w:val="both"/>
              <w:textAlignment w:val="auto"/>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（二）A2B 型或 AB2</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80" w:lineRule="auto"/>
              <w:ind w:left="0" w:right="0" w:firstLine="482" w:firstLineChars="200"/>
              <w:jc w:val="both"/>
              <w:textAlignment w:val="auto"/>
              <w:rPr>
                <w:rFonts w:hint="default" w:ascii="Times New Roman" w:hAnsi="Times New Roman"/>
                <w:b/>
                <w:bCs w:val="0"/>
                <w:color w:val="C00000"/>
                <w:sz w:val="24"/>
                <w:szCs w:val="24"/>
              </w:rPr>
            </w:pPr>
            <w:r>
              <w:rPr>
                <w:rFonts w:hint="eastAsia" w:ascii="Times New Roman" w:hAnsi="Times New Roman"/>
                <w:b/>
                <w:bCs w:val="0"/>
                <w:color w:val="C00000"/>
                <w:sz w:val="24"/>
                <w:szCs w:val="24"/>
              </w:rPr>
              <w:t>第二节 溶度积规则及其应用</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80" w:lineRule="auto"/>
              <w:ind w:left="0" w:right="0" w:firstLine="482" w:firstLineChars="200"/>
              <w:jc w:val="both"/>
              <w:textAlignment w:val="auto"/>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
                <w:bCs w:val="0"/>
                <w:color w:val="000000" w:themeColor="text1"/>
                <w:sz w:val="24"/>
                <w:szCs w:val="24"/>
                <w14:textFill>
                  <w14:solidFill>
                    <w14:schemeClr w14:val="tx1"/>
                  </w14:solidFill>
                </w14:textFill>
              </w:rPr>
              <w:t>一、溶度积规则</w:t>
            </w:r>
            <w:r>
              <w:rPr>
                <w:rFonts w:hint="eastAsia" w:ascii="Times New Roman" w:hAnsi="Times New Roman"/>
                <w:bCs/>
                <w:color w:val="000000" w:themeColor="text1"/>
                <w:sz w:val="24"/>
                <w:szCs w:val="24"/>
                <w14:textFill>
                  <w14:solidFill>
                    <w14:schemeClr w14:val="tx1"/>
                  </w14:solidFill>
                </w14:textFill>
              </w:rPr>
              <w:t xml:space="preserve">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jc w:val="both"/>
              <w:textAlignment w:val="auto"/>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在温度一定时，任意状态下的难溶电解质溶液中，其组成离子相对浓度幂的乘积，称为离子积，用符号 </w:t>
            </w:r>
            <w:r>
              <w:rPr>
                <w:rFonts w:hint="default" w:ascii="Times New Roman" w:hAnsi="Times New Roman"/>
                <w:bCs/>
                <w:i/>
                <w:iCs/>
                <w:color w:val="000000" w:themeColor="text1"/>
                <w:sz w:val="24"/>
                <w:szCs w:val="24"/>
                <w14:textFill>
                  <w14:solidFill>
                    <w14:schemeClr w14:val="tx1"/>
                  </w14:solidFill>
                </w14:textFill>
              </w:rPr>
              <w:t xml:space="preserve">Q </w:t>
            </w:r>
            <w:r>
              <w:rPr>
                <w:rFonts w:hint="eastAsia" w:ascii="Times New Roman" w:hAnsi="Times New Roman"/>
                <w:bCs/>
                <w:color w:val="000000" w:themeColor="text1"/>
                <w:sz w:val="24"/>
                <w:szCs w:val="24"/>
                <w14:textFill>
                  <w14:solidFill>
                    <w14:schemeClr w14:val="tx1"/>
                  </w14:solidFill>
                </w14:textFill>
              </w:rPr>
              <w:t>表示。</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drawing>
                <wp:inline distT="0" distB="0" distL="0" distR="0">
                  <wp:extent cx="4298950" cy="4585335"/>
                  <wp:effectExtent l="0" t="0" r="6350" b="5715"/>
                  <wp:docPr id="194765146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651466" name="图片 1"/>
                          <pic:cNvPicPr>
                            <a:picLocks noChangeAspect="1"/>
                          </pic:cNvPicPr>
                        </pic:nvPicPr>
                        <pic:blipFill>
                          <a:blip r:embed="rId7"/>
                          <a:stretch>
                            <a:fillRect/>
                          </a:stretch>
                        </pic:blipFill>
                        <pic:spPr>
                          <a:xfrm>
                            <a:off x="0" y="0"/>
                            <a:ext cx="4298950" cy="4585335"/>
                          </a:xfrm>
                          <a:prstGeom prst="rect">
                            <a:avLst/>
                          </a:prstGeom>
                        </pic:spPr>
                      </pic:pic>
                    </a:graphicData>
                  </a:graphic>
                </wp:inline>
              </w:drawing>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入 </w:t>
            </w:r>
            <w:r>
              <w:rPr>
                <w:rFonts w:hint="default" w:ascii="Times New Roman" w:hAnsi="Times New Roman"/>
                <w:bCs/>
                <w:color w:val="000000" w:themeColor="text1"/>
                <w:sz w:val="24"/>
                <w:szCs w:val="24"/>
                <w14:textFill>
                  <w14:solidFill>
                    <w14:schemeClr w14:val="tx1"/>
                  </w14:solidFill>
                </w14:textFill>
              </w:rPr>
              <w:t>Na</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SO</w:t>
            </w:r>
            <w:r>
              <w:rPr>
                <w:rFonts w:hint="default" w:ascii="Times New Roman" w:hAnsi="Times New Roman"/>
                <w:bCs/>
                <w:color w:val="000000" w:themeColor="text1"/>
                <w:sz w:val="24"/>
                <w:szCs w:val="24"/>
                <w:vertAlign w:val="subscript"/>
                <w14:textFill>
                  <w14:solidFill>
                    <w14:schemeClr w14:val="tx1"/>
                  </w14:solidFill>
                </w14:textFill>
              </w:rPr>
              <w:t>4</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而增大了。</w:t>
            </w:r>
            <w:r>
              <w:rPr>
                <w:rFonts w:hint="default" w:ascii="Times New Roman" w:hAnsi="Times New Roman"/>
                <w:bCs/>
                <w:color w:val="000000" w:themeColor="text1"/>
                <w:sz w:val="24"/>
                <w:szCs w:val="24"/>
                <w14:textFill>
                  <w14:solidFill>
                    <w14:schemeClr w14:val="tx1"/>
                  </w14:solidFill>
                </w14:textFill>
              </w:rPr>
              <w:t>BaSO</w:t>
            </w:r>
            <w:r>
              <w:rPr>
                <w:rFonts w:hint="default" w:ascii="Times New Roman" w:hAnsi="Times New Roman"/>
                <w:bCs/>
                <w:color w:val="000000" w:themeColor="text1"/>
                <w:sz w:val="24"/>
                <w:szCs w:val="24"/>
                <w:vertAlign w:val="subscript"/>
                <w14:textFill>
                  <w14:solidFill>
                    <w14:schemeClr w14:val="tx1"/>
                  </w14:solidFill>
                </w14:textFill>
              </w:rPr>
              <w:t>4</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 xml:space="preserve">的溶解度可用达到新的平衡时 </w:t>
            </w:r>
            <w:r>
              <w:rPr>
                <w:rFonts w:hint="default" w:ascii="Times New Roman" w:hAnsi="Times New Roman"/>
                <w:bCs/>
                <w:color w:val="000000" w:themeColor="text1"/>
                <w:sz w:val="24"/>
                <w:szCs w:val="24"/>
                <w14:textFill>
                  <w14:solidFill>
                    <w14:schemeClr w14:val="tx1"/>
                  </w14:solidFill>
                </w14:textFill>
              </w:rPr>
              <w:t>Ba</w:t>
            </w:r>
            <w:r>
              <w:rPr>
                <w:rFonts w:hint="default" w:ascii="Times New Roman" w:hAnsi="Times New Roman"/>
                <w:bCs/>
                <w:color w:val="000000" w:themeColor="text1"/>
                <w:sz w:val="24"/>
                <w:szCs w:val="24"/>
                <w:vertAlign w:val="super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的浓度来衡量。因此，</w:t>
            </w:r>
            <w:r>
              <w:rPr>
                <w:rFonts w:hint="default" w:ascii="Times New Roman" w:hAnsi="Times New Roman"/>
                <w:bCs/>
                <w:color w:val="000000" w:themeColor="text1"/>
                <w:sz w:val="24"/>
                <w:szCs w:val="24"/>
                <w14:textFill>
                  <w14:solidFill>
                    <w14:schemeClr w14:val="tx1"/>
                  </w14:solidFill>
                </w14:textFill>
              </w:rPr>
              <w:t>BaSO</w:t>
            </w:r>
            <w:r>
              <w:rPr>
                <w:rFonts w:hint="default" w:ascii="Times New Roman" w:hAnsi="Times New Roman"/>
                <w:bCs/>
                <w:color w:val="000000" w:themeColor="text1"/>
                <w:sz w:val="24"/>
                <w:szCs w:val="24"/>
                <w:vertAlign w:val="subscript"/>
                <w14:textFill>
                  <w14:solidFill>
                    <w14:schemeClr w14:val="tx1"/>
                  </w14:solidFill>
                </w14:textFill>
              </w:rPr>
              <w:t>4</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在外加</w:t>
            </w:r>
            <w:r>
              <w:rPr>
                <w:rFonts w:hint="default" w:ascii="Times New Roman" w:hAnsi="Times New Roman"/>
                <w:bCs/>
                <w:color w:val="000000" w:themeColor="text1"/>
                <w:sz w:val="24"/>
                <w:szCs w:val="24"/>
                <w14:textFill>
                  <w14:solidFill>
                    <w14:schemeClr w14:val="tx1"/>
                  </w14:solidFill>
                </w14:textFill>
              </w:rPr>
              <w:t>SO</w:t>
            </w:r>
            <w:r>
              <w:rPr>
                <w:rFonts w:hint="default" w:ascii="Times New Roman" w:hAnsi="Times New Roman"/>
                <w:bCs/>
                <w:color w:val="000000" w:themeColor="text1"/>
                <w:sz w:val="24"/>
                <w:szCs w:val="24"/>
                <w:vertAlign w:val="subscript"/>
                <w14:textFill>
                  <w14:solidFill>
                    <w14:schemeClr w14:val="tx1"/>
                  </w14:solidFill>
                </w14:textFill>
              </w:rPr>
              <w:t>4</w:t>
            </w:r>
            <w:r>
              <w:rPr>
                <w:rFonts w:hint="default" w:ascii="Times New Roman" w:hAnsi="Times New Roman"/>
                <w:bCs/>
                <w:color w:val="000000" w:themeColor="text1"/>
                <w:sz w:val="24"/>
                <w:szCs w:val="24"/>
                <w:vertAlign w:val="superscript"/>
                <w14:textFill>
                  <w14:solidFill>
                    <w14:schemeClr w14:val="tx1"/>
                  </w14:solidFill>
                </w14:textFill>
              </w:rPr>
              <w:t>2-</w:t>
            </w:r>
            <w:r>
              <w:rPr>
                <w:rFonts w:hint="eastAsia" w:ascii="Times New Roman" w:hAnsi="Times New Roman"/>
                <w:bCs/>
                <w:color w:val="000000" w:themeColor="text1"/>
                <w:sz w:val="24"/>
                <w:szCs w:val="24"/>
                <w14:textFill>
                  <w14:solidFill>
                    <w14:schemeClr w14:val="tx1"/>
                  </w14:solidFill>
                </w14:textFill>
              </w:rPr>
              <w:t xml:space="preserve">存在时，溶解度比在纯水中小。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这种在难溶电解质的饱和溶液中，加入含有相同离子的易溶强电解质而使其溶解度减小的现象，称为沉淀溶解平衡中的同离子效应。</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（二）盐效应 </w:t>
            </w:r>
          </w:p>
          <w:p>
            <w:pPr>
              <w:keepNext w:val="0"/>
              <w:keepLines w:val="0"/>
              <w:widowControl/>
              <w:suppressLineNumbers w:val="0"/>
              <w:spacing w:before="0" w:beforeAutospacing="0" w:after="0" w:afterAutospacing="0" w:line="360" w:lineRule="auto"/>
              <w:ind w:left="0" w:right="0" w:firstLine="480" w:firstLineChars="200"/>
              <w:jc w:val="left"/>
              <w:rPr>
                <w:rFonts w:hint="eastAsia"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在 </w:t>
            </w:r>
            <w:r>
              <w:rPr>
                <w:rFonts w:hint="default" w:ascii="Times New Roman" w:hAnsi="Times New Roman"/>
                <w:bCs/>
                <w:color w:val="000000" w:themeColor="text1"/>
                <w:sz w:val="24"/>
                <w:szCs w:val="24"/>
                <w14:textFill>
                  <w14:solidFill>
                    <w14:schemeClr w14:val="tx1"/>
                  </w14:solidFill>
                </w14:textFill>
              </w:rPr>
              <w:t xml:space="preserve">AgCl </w:t>
            </w:r>
            <w:r>
              <w:rPr>
                <w:rFonts w:hint="eastAsia" w:ascii="Times New Roman" w:hAnsi="Times New Roman"/>
                <w:bCs/>
                <w:color w:val="000000" w:themeColor="text1"/>
                <w:sz w:val="24"/>
                <w:szCs w:val="24"/>
                <w14:textFill>
                  <w14:solidFill>
                    <w14:schemeClr w14:val="tx1"/>
                  </w14:solidFill>
                </w14:textFill>
              </w:rPr>
              <w:t xml:space="preserve">沉淀中加入 </w:t>
            </w:r>
            <w:r>
              <w:rPr>
                <w:rFonts w:hint="default" w:ascii="Times New Roman" w:hAnsi="Times New Roman"/>
                <w:bCs/>
                <w:color w:val="000000" w:themeColor="text1"/>
                <w:sz w:val="24"/>
                <w:szCs w:val="24"/>
                <w14:textFill>
                  <w14:solidFill>
                    <w14:schemeClr w14:val="tx1"/>
                  </w14:solidFill>
                </w14:textFill>
              </w:rPr>
              <w:t>KNO</w:t>
            </w:r>
            <w:r>
              <w:rPr>
                <w:rFonts w:hint="default" w:ascii="Times New Roman" w:hAnsi="Times New Roman"/>
                <w:bCs/>
                <w:color w:val="000000" w:themeColor="text1"/>
                <w:sz w:val="24"/>
                <w:szCs w:val="24"/>
                <w:vertAlign w:val="subscript"/>
                <w14:textFill>
                  <w14:solidFill>
                    <w14:schemeClr w14:val="tx1"/>
                  </w14:solidFill>
                </w14:textFill>
              </w:rPr>
              <w:t>3</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 xml:space="preserve">AgCl </w:t>
            </w:r>
            <w:r>
              <w:rPr>
                <w:rFonts w:hint="eastAsia" w:ascii="Times New Roman" w:hAnsi="Times New Roman"/>
                <w:bCs/>
                <w:color w:val="000000" w:themeColor="text1"/>
                <w:sz w:val="24"/>
                <w:szCs w:val="24"/>
                <w14:textFill>
                  <w14:solidFill>
                    <w14:schemeClr w14:val="tx1"/>
                  </w14:solidFill>
                </w14:textFill>
              </w:rPr>
              <w:t xml:space="preserve">溶解度增大。原因是 </w:t>
            </w:r>
          </w:p>
          <w:p>
            <w:pPr>
              <w:keepNext w:val="0"/>
              <w:keepLines w:val="0"/>
              <w:widowControl/>
              <w:suppressLineNumbers w:val="0"/>
              <w:spacing w:before="0" w:beforeAutospacing="0" w:after="0" w:afterAutospacing="0" w:line="360" w:lineRule="auto"/>
              <w:ind w:left="0" w:right="0" w:firstLine="420" w:firstLineChars="200"/>
              <w:jc w:val="left"/>
              <w:rPr>
                <w:rFonts w:hint="eastAsia" w:ascii="Times New Roman" w:hAnsi="Times New Roman"/>
                <w:b/>
                <w:bCs w:val="0"/>
                <w:color w:val="000000" w:themeColor="text1"/>
                <w:sz w:val="24"/>
                <w:szCs w:val="24"/>
                <w14:textFill>
                  <w14:solidFill>
                    <w14:schemeClr w14:val="tx1"/>
                  </w14:solidFill>
                </w14:textFill>
              </w:rPr>
            </w:pPr>
            <w:r>
              <w:drawing>
                <wp:inline distT="0" distB="0" distL="114300" distR="114300">
                  <wp:extent cx="1914525" cy="723900"/>
                  <wp:effectExtent l="0" t="0" r="952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a:stretch>
                            <a:fillRect/>
                          </a:stretch>
                        </pic:blipFill>
                        <pic:spPr>
                          <a:xfrm>
                            <a:off x="0" y="0"/>
                            <a:ext cx="1914525" cy="723900"/>
                          </a:xfrm>
                          <a:prstGeom prst="rect">
                            <a:avLst/>
                          </a:prstGeom>
                          <a:noFill/>
                          <a:ln>
                            <a:noFill/>
                          </a:ln>
                        </pic:spPr>
                      </pic:pic>
                    </a:graphicData>
                  </a:graphic>
                </wp:inline>
              </w:drawing>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增大了溶液中阴、阳离子的浓度，加剧了异电荷离子之间的相互吸引、牵制作用，从而降低了沉淀离子的有效浓度，使之在单位时间内碰撞到晶体表面重新生成沉淀的机会减少，因而破坏了沉淀溶解平衡，溶解度增大。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在难溶电解质饱和溶液中，加入不含共同离子的易溶强电解质而使难溶电解质的溶解度增大的作用。称为盐效应。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注意：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1</w:t>
            </w:r>
            <w:r>
              <w:rPr>
                <w:rFonts w:hint="eastAsia" w:ascii="Times New Roman" w:hAnsi="Times New Roman"/>
                <w:bCs/>
                <w:color w:val="000000" w:themeColor="text1"/>
                <w:sz w:val="24"/>
                <w:szCs w:val="24"/>
                <w14:textFill>
                  <w14:solidFill>
                    <w14:schemeClr w14:val="tx1"/>
                  </w14:solidFill>
                </w14:textFill>
              </w:rPr>
              <w:t xml:space="preserve">）外加强电解质浓度和离子电荷越大，盐效应越显著。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2</w:t>
            </w:r>
            <w:r>
              <w:rPr>
                <w:rFonts w:hint="eastAsia" w:ascii="Times New Roman" w:hAnsi="Times New Roman"/>
                <w:bCs/>
                <w:color w:val="000000" w:themeColor="text1"/>
                <w:sz w:val="24"/>
                <w:szCs w:val="24"/>
                <w14:textFill>
                  <w14:solidFill>
                    <w14:schemeClr w14:val="tx1"/>
                  </w14:solidFill>
                </w14:textFill>
              </w:rPr>
              <w:t xml:space="preserve">）同离子效应也伴有盐效应，但通常忽略。若加入过多，溶解度反而增大。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同离子效应和盐效应对难溶电解质溶解度的影响是相互矛盾的，当两者同时存在时，通常同离子效应起主导作用，盐效应影响较小。当沉淀剂过量不超过 </w:t>
            </w:r>
            <w:r>
              <w:rPr>
                <w:rFonts w:hint="default" w:ascii="Times New Roman" w:hAnsi="Times New Roman"/>
                <w:bCs/>
                <w:color w:val="000000" w:themeColor="text1"/>
                <w:sz w:val="24"/>
                <w:szCs w:val="24"/>
                <w14:textFill>
                  <w14:solidFill>
                    <w14:schemeClr w14:val="tx1"/>
                  </w14:solidFill>
                </w14:textFill>
              </w:rPr>
              <w:t>0.01 mol</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L</w:t>
            </w:r>
            <w:r>
              <w:rPr>
                <w:rFonts w:hint="default" w:ascii="Times New Roman" w:hAnsi="Times New Roman"/>
                <w:bCs/>
                <w:color w:val="000000" w:themeColor="text1"/>
                <w:sz w:val="24"/>
                <w:szCs w:val="24"/>
                <w:vertAlign w:val="superscript"/>
                <w14:textFill>
                  <w14:solidFill>
                    <w14:schemeClr w14:val="tx1"/>
                  </w14:solidFill>
                </w14:textFill>
              </w:rPr>
              <w:t>-1</w:t>
            </w:r>
            <w:r>
              <w:rPr>
                <w:rFonts w:hint="eastAsia" w:ascii="Times New Roman" w:hAnsi="Times New Roman"/>
                <w:bCs/>
                <w:color w:val="000000" w:themeColor="text1"/>
                <w:sz w:val="24"/>
                <w:szCs w:val="24"/>
                <w14:textFill>
                  <w14:solidFill>
                    <w14:schemeClr w14:val="tx1"/>
                  </w14:solidFill>
                </w14:textFill>
              </w:rPr>
              <w:t>时，溶液较稀，盐效应可忽略不计。</w:t>
            </w:r>
          </w:p>
          <w:p>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Times New Roman"/>
                <w:b/>
                <w:bCs w:val="0"/>
                <w:color w:val="000000" w:themeColor="text1"/>
                <w:sz w:val="24"/>
                <w:szCs w:val="24"/>
                <w14:textFill>
                  <w14:solidFill>
                    <w14:schemeClr w14:val="tx1"/>
                  </w14:solidFill>
                </w14:textFill>
              </w:rPr>
            </w:pPr>
            <w:r>
              <w:rPr>
                <w:rFonts w:hint="eastAsia" w:ascii="Times New Roman" w:hAnsi="Times New Roman"/>
                <w:b/>
                <w:bCs w:val="0"/>
                <w:color w:val="000000" w:themeColor="text1"/>
                <w:sz w:val="24"/>
                <w:szCs w:val="24"/>
                <w14:textFill>
                  <w14:solidFill>
                    <w14:schemeClr w14:val="tx1"/>
                  </w14:solidFill>
                </w14:textFill>
              </w:rPr>
              <w:t xml:space="preserve">三、溶度积规则的应用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（一）沉淀的生成</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（二）沉淀溶解 </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浓度是影响沉淀 - 溶解平衡的重要因素。改变溶液中有关离子的浓度，可以引起沉淀 - 溶解平衡的移动。改变溶液的 </w:t>
            </w:r>
            <w:r>
              <w:rPr>
                <w:rFonts w:hint="default" w:ascii="Times New Roman" w:hAnsi="Times New Roman"/>
                <w:bCs/>
                <w:color w:val="000000" w:themeColor="text1"/>
                <w:sz w:val="24"/>
                <w:szCs w:val="24"/>
                <w14:textFill>
                  <w14:solidFill>
                    <w14:schemeClr w14:val="tx1"/>
                  </w14:solidFill>
                </w14:textFill>
              </w:rPr>
              <w:t>pH</w:t>
            </w:r>
            <w:r>
              <w:rPr>
                <w:rFonts w:hint="eastAsia" w:ascii="Times New Roman" w:hAnsi="Times New Roman"/>
                <w:bCs/>
                <w:color w:val="000000" w:themeColor="text1"/>
                <w:sz w:val="24"/>
                <w:szCs w:val="24"/>
                <w14:textFill>
                  <w14:solidFill>
                    <w14:schemeClr w14:val="tx1"/>
                  </w14:solidFill>
                </w14:textFill>
              </w:rPr>
              <w:t xml:space="preserve">、生成配合物，发生氧化反应都可以改变有关离子的浓度，引起沉淀 - 溶解平衡的移动，则沉淀将溶解。其途径包括： </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t xml:space="preserve">1. </w:t>
            </w:r>
            <w:r>
              <w:rPr>
                <w:rFonts w:hint="eastAsia" w:ascii="Times New Roman" w:hAnsi="Times New Roman"/>
                <w:bCs/>
                <w:color w:val="000000" w:themeColor="text1"/>
                <w:sz w:val="24"/>
                <w:szCs w:val="24"/>
                <w14:textFill>
                  <w14:solidFill>
                    <w14:schemeClr w14:val="tx1"/>
                  </w14:solidFill>
                </w14:textFill>
              </w:rPr>
              <w:t xml:space="preserve">生成气体 难溶碳酸盐可与足量的盐酸、硝酸等发生作用生成 </w:t>
            </w:r>
            <w:r>
              <w:rPr>
                <w:rFonts w:hint="default" w:ascii="Times New Roman" w:hAnsi="Times New Roman"/>
                <w:bCs/>
                <w:color w:val="000000" w:themeColor="text1"/>
                <w:sz w:val="24"/>
                <w:szCs w:val="24"/>
                <w14:textFill>
                  <w14:solidFill>
                    <w14:schemeClr w14:val="tx1"/>
                  </w14:solidFill>
                </w14:textFill>
              </w:rPr>
              <w:t>CO</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气体，而不断降低</w:t>
            </w:r>
            <w:r>
              <w:rPr>
                <w:rFonts w:hint="default" w:ascii="Times New Roman" w:hAnsi="Times New Roman"/>
                <w:bCs/>
                <w:color w:val="000000" w:themeColor="text1"/>
                <w:sz w:val="24"/>
                <w:szCs w:val="24"/>
                <w14:textFill>
                  <w14:solidFill>
                    <w14:schemeClr w14:val="tx1"/>
                  </w14:solidFill>
                </w14:textFill>
              </w:rPr>
              <w:t>CO</w:t>
            </w:r>
            <w:r>
              <w:rPr>
                <w:rFonts w:hint="default" w:ascii="Times New Roman" w:hAnsi="Times New Roman"/>
                <w:bCs/>
                <w:color w:val="000000" w:themeColor="text1"/>
                <w:sz w:val="24"/>
                <w:szCs w:val="24"/>
                <w:vertAlign w:val="subscript"/>
                <w14:textFill>
                  <w14:solidFill>
                    <w14:schemeClr w14:val="tx1"/>
                  </w14:solidFill>
                </w14:textFill>
              </w:rPr>
              <w:t>3</w:t>
            </w:r>
            <w:r>
              <w:rPr>
                <w:rFonts w:hint="default" w:ascii="Times New Roman" w:hAnsi="Times New Roman"/>
                <w:bCs/>
                <w:color w:val="000000" w:themeColor="text1"/>
                <w:sz w:val="24"/>
                <w:szCs w:val="24"/>
                <w:vertAlign w:val="super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 xml:space="preserve">浓度，使沉淀溶解。 </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实例分析：向 </w:t>
            </w:r>
            <w:r>
              <w:rPr>
                <w:rFonts w:hint="default" w:ascii="Times New Roman" w:hAnsi="Times New Roman"/>
                <w:bCs/>
                <w:color w:val="000000" w:themeColor="text1"/>
                <w:sz w:val="24"/>
                <w:szCs w:val="24"/>
                <w14:textFill>
                  <w14:solidFill>
                    <w14:schemeClr w14:val="tx1"/>
                  </w14:solidFill>
                </w14:textFill>
              </w:rPr>
              <w:t>CaCO</w:t>
            </w:r>
            <w:r>
              <w:rPr>
                <w:rFonts w:hint="default" w:ascii="Times New Roman" w:hAnsi="Times New Roman"/>
                <w:bCs/>
                <w:color w:val="000000" w:themeColor="text1"/>
                <w:sz w:val="24"/>
                <w:szCs w:val="24"/>
                <w:vertAlign w:val="subscript"/>
                <w14:textFill>
                  <w14:solidFill>
                    <w14:schemeClr w14:val="tx1"/>
                  </w14:solidFill>
                </w14:textFill>
              </w:rPr>
              <w:t>3</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饱和溶液中加盐酸，</w:t>
            </w:r>
            <w:r>
              <w:rPr>
                <w:rFonts w:hint="default" w:ascii="Times New Roman" w:hAnsi="Times New Roman"/>
                <w:bCs/>
                <w:color w:val="000000" w:themeColor="text1"/>
                <w:sz w:val="24"/>
                <w:szCs w:val="24"/>
                <w14:textFill>
                  <w14:solidFill>
                    <w14:schemeClr w14:val="tx1"/>
                  </w14:solidFill>
                </w14:textFill>
              </w:rPr>
              <w:t>CaCO</w:t>
            </w:r>
            <w:r>
              <w:rPr>
                <w:rFonts w:hint="default" w:ascii="Times New Roman" w:hAnsi="Times New Roman"/>
                <w:bCs/>
                <w:color w:val="000000" w:themeColor="text1"/>
                <w:sz w:val="24"/>
                <w:szCs w:val="24"/>
                <w:vertAlign w:val="subscript"/>
                <w14:textFill>
                  <w14:solidFill>
                    <w14:schemeClr w14:val="tx1"/>
                  </w14:solidFill>
                </w14:textFill>
              </w:rPr>
              <w:t>3</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 xml:space="preserve">沉淀逐渐消失，平衡移动过程为通过控制 </w:t>
            </w:r>
            <w:r>
              <w:rPr>
                <w:rFonts w:hint="default" w:ascii="Times New Roman" w:hAnsi="Times New Roman"/>
                <w:bCs/>
                <w:color w:val="000000" w:themeColor="text1"/>
                <w:sz w:val="24"/>
                <w:szCs w:val="24"/>
                <w14:textFill>
                  <w14:solidFill>
                    <w14:schemeClr w14:val="tx1"/>
                  </w14:solidFill>
                </w14:textFill>
              </w:rPr>
              <w:t xml:space="preserve">pH </w:t>
            </w:r>
            <w:r>
              <w:rPr>
                <w:rFonts w:hint="eastAsia" w:ascii="Times New Roman" w:hAnsi="Times New Roman"/>
                <w:bCs/>
                <w:color w:val="000000" w:themeColor="text1"/>
                <w:sz w:val="24"/>
                <w:szCs w:val="24"/>
                <w14:textFill>
                  <w14:solidFill>
                    <w14:schemeClr w14:val="tx1"/>
                  </w14:solidFill>
                </w14:textFill>
              </w:rPr>
              <w:t xml:space="preserve">使某些金属硫化物沉淀或溶解，达到分离的目的。 </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t xml:space="preserve">2. </w:t>
            </w:r>
            <w:r>
              <w:rPr>
                <w:rFonts w:hint="eastAsia" w:ascii="Times New Roman" w:hAnsi="Times New Roman"/>
                <w:bCs/>
                <w:color w:val="000000" w:themeColor="text1"/>
                <w:sz w:val="24"/>
                <w:szCs w:val="24"/>
                <w14:textFill>
                  <w14:solidFill>
                    <w14:schemeClr w14:val="tx1"/>
                  </w14:solidFill>
                </w14:textFill>
              </w:rPr>
              <w:t xml:space="preserve">生成弱电解质难溶金属氢氧化物都能与强酸反应生成弱电解质而溶解。实例分析：向 </w:t>
            </w:r>
            <w:r>
              <w:rPr>
                <w:rFonts w:hint="default" w:ascii="Times New Roman" w:hAnsi="Times New Roman"/>
                <w:bCs/>
                <w:color w:val="000000" w:themeColor="text1"/>
                <w:sz w:val="24"/>
                <w:szCs w:val="24"/>
                <w14:textFill>
                  <w14:solidFill>
                    <w14:schemeClr w14:val="tx1"/>
                  </w14:solidFill>
                </w14:textFill>
              </w:rPr>
              <w:t>Cu(OH)</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 xml:space="preserve">饱和溶液中加盐酸，则 </w:t>
            </w:r>
            <w:r>
              <w:rPr>
                <w:rFonts w:hint="default" w:ascii="Times New Roman" w:hAnsi="Times New Roman"/>
                <w:bCs/>
                <w:color w:val="000000" w:themeColor="text1"/>
                <w:sz w:val="24"/>
                <w:szCs w:val="24"/>
                <w14:textFill>
                  <w14:solidFill>
                    <w14:schemeClr w14:val="tx1"/>
                  </w14:solidFill>
                </w14:textFill>
              </w:rPr>
              <w:t>Cu(OH)</w:t>
            </w:r>
            <w:r>
              <w:rPr>
                <w:rFonts w:hint="default" w:ascii="Times New Roman" w:hAnsi="Times New Roman"/>
                <w:bCs/>
                <w:color w:val="000000" w:themeColor="text1"/>
                <w:sz w:val="24"/>
                <w:szCs w:val="24"/>
                <w:vertAlign w:val="subscript"/>
                <w14:textFill>
                  <w14:solidFill>
                    <w14:schemeClr w14:val="tx1"/>
                  </w14:solidFill>
                </w14:textFill>
              </w:rPr>
              <w:t>2</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 xml:space="preserve">沉淀逐渐消失。在利用生成难溶金属氢氧化物的方法分离金属离子时，常使用缓冲溶液控制溶液 </w:t>
            </w:r>
            <w:r>
              <w:rPr>
                <w:rFonts w:hint="default" w:ascii="Times New Roman" w:hAnsi="Times New Roman"/>
                <w:bCs/>
                <w:color w:val="000000" w:themeColor="text1"/>
                <w:sz w:val="24"/>
                <w:szCs w:val="24"/>
                <w14:textFill>
                  <w14:solidFill>
                    <w14:schemeClr w14:val="tx1"/>
                  </w14:solidFill>
                </w14:textFill>
              </w:rPr>
              <w:t>pH</w:t>
            </w:r>
            <w:r>
              <w:rPr>
                <w:rFonts w:hint="eastAsia" w:ascii="Times New Roman" w:hAnsi="Times New Roman"/>
                <w:bCs/>
                <w:color w:val="000000" w:themeColor="text1"/>
                <w:sz w:val="24"/>
                <w:szCs w:val="24"/>
                <w14:textFill>
                  <w14:solidFill>
                    <w14:schemeClr w14:val="tx1"/>
                  </w14:solidFill>
                </w14:textFill>
              </w:rPr>
              <w:t xml:space="preserve">。 </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t xml:space="preserve">3. </w:t>
            </w:r>
            <w:r>
              <w:rPr>
                <w:rFonts w:hint="eastAsia" w:ascii="Times New Roman" w:hAnsi="Times New Roman"/>
                <w:bCs/>
                <w:color w:val="000000" w:themeColor="text1"/>
                <w:sz w:val="24"/>
                <w:szCs w:val="24"/>
                <w14:textFill>
                  <w14:solidFill>
                    <w14:schemeClr w14:val="tx1"/>
                  </w14:solidFill>
                </w14:textFill>
              </w:rPr>
              <w:t>生成配离子 某些试剂能与难溶电解质中的金属离子反应生成配合物，从而破坏沉淀 - 溶解平衡，使沉淀溶解。</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t xml:space="preserve">4. </w:t>
            </w:r>
            <w:r>
              <w:rPr>
                <w:rFonts w:hint="eastAsia" w:ascii="Times New Roman" w:hAnsi="Times New Roman"/>
                <w:bCs/>
                <w:color w:val="000000" w:themeColor="text1"/>
                <w:sz w:val="24"/>
                <w:szCs w:val="24"/>
                <w14:textFill>
                  <w14:solidFill>
                    <w14:schemeClr w14:val="tx1"/>
                  </w14:solidFill>
                </w14:textFill>
              </w:rPr>
              <w:t>发生氧化还原反应 例如，</w:t>
            </w:r>
            <w:r>
              <w:rPr>
                <w:rFonts w:hint="default" w:ascii="Times New Roman" w:hAnsi="Times New Roman"/>
                <w:bCs/>
                <w:color w:val="000000" w:themeColor="text1"/>
                <w:sz w:val="24"/>
                <w:szCs w:val="24"/>
                <w14:textFill>
                  <w14:solidFill>
                    <w14:schemeClr w14:val="tx1"/>
                  </w14:solidFill>
                </w14:textFill>
              </w:rPr>
              <w:t xml:space="preserve">CuS </w:t>
            </w:r>
            <w:r>
              <w:rPr>
                <w:rFonts w:hint="eastAsia" w:ascii="Times New Roman" w:hAnsi="Times New Roman"/>
                <w:bCs/>
                <w:color w:val="000000" w:themeColor="text1"/>
                <w:sz w:val="24"/>
                <w:szCs w:val="24"/>
                <w14:textFill>
                  <w14:solidFill>
                    <w14:schemeClr w14:val="tx1"/>
                  </w14:solidFill>
                </w14:textFill>
              </w:rPr>
              <w:t xml:space="preserve">的溶度积很小，它既难溶于水，又难溶于稀盐酸，但与有强氧化作用的硝酸相遇时，则会发生氧化还原反应生成单质 </w:t>
            </w:r>
            <w:r>
              <w:rPr>
                <w:rFonts w:hint="default" w:ascii="Times New Roman" w:hAnsi="Times New Roman"/>
                <w:bCs/>
                <w:color w:val="000000" w:themeColor="text1"/>
                <w:sz w:val="24"/>
                <w:szCs w:val="24"/>
                <w14:textFill>
                  <w14:solidFill>
                    <w14:schemeClr w14:val="tx1"/>
                  </w14:solidFill>
                </w14:textFill>
              </w:rPr>
              <w:t xml:space="preserve">S </w:t>
            </w:r>
            <w:r>
              <w:rPr>
                <w:rFonts w:hint="eastAsia" w:ascii="Times New Roman" w:hAnsi="Times New Roman"/>
                <w:bCs/>
                <w:color w:val="000000" w:themeColor="text1"/>
                <w:sz w:val="24"/>
                <w:szCs w:val="24"/>
                <w14:textFill>
                  <w14:solidFill>
                    <w14:schemeClr w14:val="tx1"/>
                  </w14:solidFill>
                </w14:textFill>
              </w:rPr>
              <w:t xml:space="preserve">而溶解。 </w:t>
            </w:r>
          </w:p>
          <w:p>
            <w:pPr>
              <w:keepNext w:val="0"/>
              <w:keepLines w:val="0"/>
              <w:widowControl/>
              <w:suppressLineNumbers w:val="0"/>
              <w:spacing w:before="0" w:beforeAutospacing="0" w:after="0" w:afterAutospacing="0" w:line="360" w:lineRule="auto"/>
              <w:ind w:left="0" w:right="0" w:firstLine="480" w:firstLineChars="200"/>
              <w:jc w:val="both"/>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可见，沉淀的溶解是涉及多种平衡的复杂过程。</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default" w:ascii="Times New Roman" w:hAnsi="Times New Roman"/>
                <w:bCs/>
                <w:color w:val="000000" w:themeColor="text1"/>
                <w:sz w:val="24"/>
                <w:szCs w:val="24"/>
                <w14:textFill>
                  <w14:solidFill>
                    <w14:schemeClr w14:val="tx1"/>
                  </w14:solidFill>
                </w14:textFill>
              </w:rPr>
              <w:drawing>
                <wp:inline distT="0" distB="0" distL="0" distR="0">
                  <wp:extent cx="4286250" cy="1295400"/>
                  <wp:effectExtent l="0" t="0" r="0" b="0"/>
                  <wp:docPr id="187448133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4481334" name="图片 1"/>
                          <pic:cNvPicPr>
                            <a:picLocks noChangeAspect="1"/>
                          </pic:cNvPicPr>
                        </pic:nvPicPr>
                        <pic:blipFill>
                          <a:blip r:embed="rId9"/>
                          <a:stretch>
                            <a:fillRect/>
                          </a:stretch>
                        </pic:blipFill>
                        <pic:spPr>
                          <a:xfrm>
                            <a:off x="0" y="0"/>
                            <a:ext cx="4286848" cy="1295581"/>
                          </a:xfrm>
                          <a:prstGeom prst="rect">
                            <a:avLst/>
                          </a:prstGeom>
                        </pic:spPr>
                      </pic:pic>
                    </a:graphicData>
                  </a:graphic>
                </wp:inline>
              </w:drawing>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（三）沉淀的转化 </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某些难溶电解质，即使采用上述方法也很难使其溶解，这时可采用沉淀转化的方法。在某种沉淀中加入适当的沉淀试剂，使原有的沉淀溶解而生成另一种沉淀的过程，称为沉淀的转化。</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309"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展示沉淀溶解平衡，让学生更加仔细的阅读，从而激发学生的学习欲望。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8"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rPr>
              <w:t>作业布置</w:t>
            </w:r>
            <w:r>
              <w:rPr>
                <w:rFonts w:hint="eastAsia" w:ascii="Times New Roman" w:hAnsi="Times New Roman"/>
                <w:sz w:val="24"/>
                <w:szCs w:val="24"/>
              </w:rPr>
              <w:t>（3min）</w:t>
            </w:r>
          </w:p>
        </w:tc>
        <w:tc>
          <w:tcPr>
            <w:tcW w:w="804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cs="宋体"/>
                <w:bCs/>
                <w:color w:val="C00000"/>
                <w:sz w:val="24"/>
                <w:szCs w:val="24"/>
                <w:lang w:bidi="ar"/>
              </w:rPr>
            </w:pPr>
            <w:r>
              <w:rPr>
                <w:rFonts w:hint="eastAsia" w:ascii="宋体" w:hAnsi="宋体" w:cs="宋体"/>
                <w:b/>
                <w:color w:val="C00000"/>
                <w:sz w:val="24"/>
                <w:szCs w:val="24"/>
                <w:lang w:bidi="ar"/>
              </w:rPr>
              <w:t>【教师】</w:t>
            </w:r>
            <w:r>
              <w:rPr>
                <w:rFonts w:hint="eastAsia" w:ascii="宋体" w:hAnsi="宋体" w:cs="宋体"/>
                <w:bCs/>
                <w:color w:val="C00000"/>
                <w:sz w:val="24"/>
                <w:szCs w:val="24"/>
                <w:lang w:bidi="ar"/>
              </w:rPr>
              <w:t>布置课后作业</w:t>
            </w:r>
          </w:p>
          <w:p>
            <w:pPr>
              <w:keepNext w:val="0"/>
              <w:keepLines w:val="0"/>
              <w:suppressLineNumbers w:val="0"/>
              <w:spacing w:before="0" w:beforeAutospacing="0" w:after="0" w:afterAutospacing="0" w:line="360" w:lineRule="auto"/>
              <w:ind w:left="0" w:right="0" w:firstLine="480" w:firstLineChars="200"/>
              <w:rPr>
                <w:rFonts w:hint="eastAsia" w:hAnsi="宋体"/>
                <w:bCs/>
                <w:sz w:val="24"/>
                <w:szCs w:val="24"/>
              </w:rPr>
            </w:pPr>
          </w:p>
        </w:tc>
        <w:tc>
          <w:tcPr>
            <w:tcW w:w="1309"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Cs/>
                <w:sz w:val="24"/>
                <w:szCs w:val="24"/>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8"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（40</w:t>
            </w:r>
            <w:r>
              <w:rPr>
                <w:rFonts w:hint="eastAsia" w:ascii="Times New Roman" w:hAnsi="Times New Roman"/>
                <w:sz w:val="24"/>
                <w:szCs w:val="24"/>
              </w:rPr>
              <w:t>min）</w:t>
            </w:r>
          </w:p>
        </w:tc>
        <w:tc>
          <w:tcPr>
            <w:tcW w:w="804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cs="宋体"/>
                <w:b/>
                <w:color w:val="C00000"/>
                <w:sz w:val="24"/>
                <w:szCs w:val="24"/>
                <w:lang w:bidi="ar"/>
              </w:rPr>
            </w:pPr>
            <w:r>
              <w:rPr>
                <w:rFonts w:hint="eastAsia" w:ascii="宋体" w:hAnsi="宋体" w:cs="宋体"/>
                <w:b/>
                <w:color w:val="C00000"/>
                <w:sz w:val="24"/>
                <w:szCs w:val="24"/>
                <w:lang w:bidi="ar"/>
              </w:rPr>
              <w:t>【教师】</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沉淀转化是一种难溶电解质不断溶解，而另一种难溶电解质不断生成的过程。通常由溶解度大的沉淀向溶解度小的沉淀转化，两种沉淀的溶解度之差越大，沉淀转化越容易进行。对相同类型的难溶电解质，则由 </w:t>
            </w:r>
            <w:r>
              <w:rPr>
                <w:rFonts w:hint="default" w:ascii="宋体" w:hAnsi="宋体" w:cs="宋体"/>
                <w:bCs/>
                <w:i/>
                <w:iCs/>
                <w:color w:val="000000" w:themeColor="text1"/>
                <w:sz w:val="24"/>
                <w:szCs w:val="24"/>
                <w:lang w:bidi="ar"/>
                <w14:textFill>
                  <w14:solidFill>
                    <w14:schemeClr w14:val="tx1"/>
                  </w14:solidFill>
                </w14:textFill>
              </w:rPr>
              <w:t>K</w:t>
            </w:r>
            <w:r>
              <w:rPr>
                <w:rFonts w:hint="default" w:ascii="宋体" w:hAnsi="宋体" w:cs="宋体"/>
                <w:bCs/>
                <w:color w:val="000000" w:themeColor="text1"/>
                <w:sz w:val="24"/>
                <w:szCs w:val="24"/>
                <w:lang w:bidi="ar"/>
                <w14:textFill>
                  <w14:solidFill>
                    <w14:schemeClr w14:val="tx1"/>
                  </w14:solidFill>
                </w14:textFill>
              </w:rPr>
              <w:t xml:space="preserve">sp Θ </w:t>
            </w:r>
            <w:r>
              <w:rPr>
                <w:rFonts w:hint="eastAsia" w:ascii="宋体" w:hAnsi="宋体" w:cs="宋体"/>
                <w:bCs/>
                <w:color w:val="000000" w:themeColor="text1"/>
                <w:sz w:val="24"/>
                <w:szCs w:val="24"/>
                <w:lang w:bidi="ar"/>
                <w14:textFill>
                  <w14:solidFill>
                    <w14:schemeClr w14:val="tx1"/>
                  </w14:solidFill>
                </w14:textFill>
              </w:rPr>
              <w:t xml:space="preserve">较大的向 </w:t>
            </w:r>
            <w:r>
              <w:rPr>
                <w:rFonts w:hint="default" w:ascii="宋体" w:hAnsi="宋体" w:cs="宋体"/>
                <w:bCs/>
                <w:i/>
                <w:iCs/>
                <w:color w:val="000000" w:themeColor="text1"/>
                <w:sz w:val="24"/>
                <w:szCs w:val="24"/>
                <w:lang w:bidi="ar"/>
                <w14:textFill>
                  <w14:solidFill>
                    <w14:schemeClr w14:val="tx1"/>
                  </w14:solidFill>
                </w14:textFill>
              </w:rPr>
              <w:t>K</w:t>
            </w:r>
            <w:r>
              <w:rPr>
                <w:rFonts w:hint="default" w:ascii="宋体" w:hAnsi="宋体" w:cs="宋体"/>
                <w:bCs/>
                <w:color w:val="000000" w:themeColor="text1"/>
                <w:sz w:val="24"/>
                <w:szCs w:val="24"/>
                <w:lang w:bidi="ar"/>
                <w14:textFill>
                  <w14:solidFill>
                    <w14:schemeClr w14:val="tx1"/>
                  </w14:solidFill>
                </w14:textFill>
              </w:rPr>
              <w:t xml:space="preserve">sp Θ </w:t>
            </w:r>
            <w:r>
              <w:rPr>
                <w:rFonts w:hint="eastAsia" w:ascii="宋体" w:hAnsi="宋体" w:cs="宋体"/>
                <w:bCs/>
                <w:color w:val="000000" w:themeColor="text1"/>
                <w:sz w:val="24"/>
                <w:szCs w:val="24"/>
                <w:lang w:bidi="ar"/>
                <w14:textFill>
                  <w14:solidFill>
                    <w14:schemeClr w14:val="tx1"/>
                  </w14:solidFill>
                </w14:textFill>
              </w:rPr>
              <w:t xml:space="preserve">较小的方向进行。溶解度相差不大时，一定条件下能使溶解度小的沉淀向溶解度大的沉淀转化。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（四）分步沉淀 </w:t>
            </w:r>
            <w:bookmarkStart w:id="0" w:name="_GoBack"/>
            <w:bookmarkEnd w:id="0"/>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实际工作中，经常遇到含有多种离子的混合溶液，此时若加入某种沉淀剂，就可能与几种离子发生沉淀反应，首先析出沉淀的是离子积最先达到溶度积的化合物。这种在混合溶液中加入某种沉淀剂时，离子发生先后沉淀的现象，称为分步沉淀。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根据溶度积规则，生成沉淀所需沉淀试剂浓度小的离子先被沉淀出来，即 </w:t>
            </w:r>
            <w:r>
              <w:rPr>
                <w:rFonts w:hint="default" w:ascii="宋体" w:hAnsi="宋体" w:cs="宋体"/>
                <w:bCs/>
                <w:i/>
                <w:iCs/>
                <w:color w:val="000000" w:themeColor="text1"/>
                <w:sz w:val="24"/>
                <w:szCs w:val="24"/>
                <w:lang w:bidi="ar"/>
                <w14:textFill>
                  <w14:solidFill>
                    <w14:schemeClr w14:val="tx1"/>
                  </w14:solidFill>
                </w14:textFill>
              </w:rPr>
              <w:t xml:space="preserve">Q </w:t>
            </w:r>
            <w:r>
              <w:rPr>
                <w:rFonts w:hint="eastAsia" w:ascii="宋体" w:hAnsi="宋体" w:cs="宋体"/>
                <w:bCs/>
                <w:color w:val="000000" w:themeColor="text1"/>
                <w:sz w:val="24"/>
                <w:szCs w:val="24"/>
                <w:lang w:bidi="ar"/>
                <w14:textFill>
                  <w14:solidFill>
                    <w14:schemeClr w14:val="tx1"/>
                  </w14:solidFill>
                </w14:textFill>
              </w:rPr>
              <w:t>先达到</w:t>
            </w:r>
            <w:r>
              <w:rPr>
                <w:rFonts w:hint="default" w:ascii="宋体" w:hAnsi="宋体" w:cs="宋体"/>
                <w:bCs/>
                <w:i/>
                <w:iCs/>
                <w:color w:val="000000" w:themeColor="text1"/>
                <w:sz w:val="24"/>
                <w:szCs w:val="24"/>
                <w:lang w:bidi="ar"/>
                <w14:textFill>
                  <w14:solidFill>
                    <w14:schemeClr w14:val="tx1"/>
                  </w14:solidFill>
                </w14:textFill>
              </w:rPr>
              <w:t>K</w:t>
            </w:r>
            <w:r>
              <w:rPr>
                <w:rFonts w:hint="default" w:ascii="宋体" w:hAnsi="宋体" w:cs="宋体"/>
                <w:bCs/>
                <w:color w:val="000000" w:themeColor="text1"/>
                <w:sz w:val="24"/>
                <w:szCs w:val="24"/>
                <w:lang w:bidi="ar"/>
                <w14:textFill>
                  <w14:solidFill>
                    <w14:schemeClr w14:val="tx1"/>
                  </w14:solidFill>
                </w14:textFill>
              </w:rPr>
              <w:t xml:space="preserve">sp Θ </w:t>
            </w:r>
            <w:r>
              <w:rPr>
                <w:rFonts w:hint="eastAsia" w:ascii="宋体" w:hAnsi="宋体" w:cs="宋体"/>
                <w:bCs/>
                <w:color w:val="000000" w:themeColor="text1"/>
                <w:sz w:val="24"/>
                <w:szCs w:val="24"/>
                <w:lang w:bidi="ar"/>
                <w14:textFill>
                  <w14:solidFill>
                    <w14:schemeClr w14:val="tx1"/>
                  </w14:solidFill>
                </w14:textFill>
              </w:rPr>
              <w:t xml:space="preserve">的离子先被沉淀出来。对同一类型的化合物，且离子浓度相同的情况， </w:t>
            </w:r>
            <w:r>
              <w:rPr>
                <w:rFonts w:hint="default" w:ascii="宋体" w:hAnsi="宋体" w:cs="宋体"/>
                <w:bCs/>
                <w:i/>
                <w:iCs/>
                <w:color w:val="000000" w:themeColor="text1"/>
                <w:sz w:val="24"/>
                <w:szCs w:val="24"/>
                <w:lang w:bidi="ar"/>
                <w14:textFill>
                  <w14:solidFill>
                    <w14:schemeClr w14:val="tx1"/>
                  </w14:solidFill>
                </w14:textFill>
              </w:rPr>
              <w:t>K</w:t>
            </w:r>
            <w:r>
              <w:rPr>
                <w:rFonts w:hint="default" w:ascii="宋体" w:hAnsi="宋体" w:cs="宋体"/>
                <w:bCs/>
                <w:color w:val="000000" w:themeColor="text1"/>
                <w:sz w:val="24"/>
                <w:szCs w:val="24"/>
                <w:lang w:bidi="ar"/>
                <w14:textFill>
                  <w14:solidFill>
                    <w14:schemeClr w14:val="tx1"/>
                  </w14:solidFill>
                </w14:textFill>
              </w:rPr>
              <w:t xml:space="preserve">sp Θ </w:t>
            </w:r>
            <w:r>
              <w:rPr>
                <w:rFonts w:hint="eastAsia" w:ascii="宋体" w:hAnsi="宋体" w:cs="宋体"/>
                <w:bCs/>
                <w:color w:val="000000" w:themeColor="text1"/>
                <w:sz w:val="24"/>
                <w:szCs w:val="24"/>
                <w:lang w:bidi="ar"/>
                <w14:textFill>
                  <w14:solidFill>
                    <w14:schemeClr w14:val="tx1"/>
                  </w14:solidFill>
                </w14:textFill>
              </w:rPr>
              <w:t xml:space="preserve">小的先成为沉淀析出， </w:t>
            </w:r>
            <w:r>
              <w:rPr>
                <w:rFonts w:hint="default" w:ascii="宋体" w:hAnsi="宋体" w:cs="宋体"/>
                <w:bCs/>
                <w:i/>
                <w:iCs/>
                <w:color w:val="000000" w:themeColor="text1"/>
                <w:sz w:val="24"/>
                <w:szCs w:val="24"/>
                <w:lang w:bidi="ar"/>
                <w14:textFill>
                  <w14:solidFill>
                    <w14:schemeClr w14:val="tx1"/>
                  </w14:solidFill>
                </w14:textFill>
              </w:rPr>
              <w:t>K</w:t>
            </w:r>
            <w:r>
              <w:rPr>
                <w:rFonts w:hint="default" w:ascii="宋体" w:hAnsi="宋体" w:cs="宋体"/>
                <w:bCs/>
                <w:color w:val="000000" w:themeColor="text1"/>
                <w:sz w:val="24"/>
                <w:szCs w:val="24"/>
                <w:lang w:bidi="ar"/>
                <w14:textFill>
                  <w14:solidFill>
                    <w14:schemeClr w14:val="tx1"/>
                  </w14:solidFill>
                </w14:textFill>
              </w:rPr>
              <w:t xml:space="preserve">sp Θ </w:t>
            </w:r>
            <w:r>
              <w:rPr>
                <w:rFonts w:hint="eastAsia" w:ascii="宋体" w:hAnsi="宋体" w:cs="宋体"/>
                <w:bCs/>
                <w:color w:val="000000" w:themeColor="text1"/>
                <w:sz w:val="24"/>
                <w:szCs w:val="24"/>
                <w:lang w:bidi="ar"/>
                <w14:textFill>
                  <w14:solidFill>
                    <w14:schemeClr w14:val="tx1"/>
                  </w14:solidFill>
                </w14:textFill>
              </w:rPr>
              <w:t xml:space="preserve">大的后成为沉淀析出。对离子浓度不同或不同类型的化合物，不能用 </w:t>
            </w:r>
            <w:r>
              <w:rPr>
                <w:rFonts w:hint="default" w:ascii="宋体" w:hAnsi="宋体" w:cs="宋体"/>
                <w:bCs/>
                <w:i/>
                <w:iCs/>
                <w:color w:val="000000" w:themeColor="text1"/>
                <w:sz w:val="24"/>
                <w:szCs w:val="24"/>
                <w:lang w:bidi="ar"/>
                <w14:textFill>
                  <w14:solidFill>
                    <w14:schemeClr w14:val="tx1"/>
                  </w14:solidFill>
                </w14:textFill>
              </w:rPr>
              <w:t>K</w:t>
            </w:r>
            <w:r>
              <w:rPr>
                <w:rFonts w:hint="default" w:ascii="宋体" w:hAnsi="宋体" w:cs="宋体"/>
                <w:bCs/>
                <w:color w:val="000000" w:themeColor="text1"/>
                <w:sz w:val="24"/>
                <w:szCs w:val="24"/>
                <w:lang w:bidi="ar"/>
                <w14:textFill>
                  <w14:solidFill>
                    <w14:schemeClr w14:val="tx1"/>
                  </w14:solidFill>
                </w14:textFill>
              </w:rPr>
              <w:t xml:space="preserve">sp Θ </w:t>
            </w:r>
            <w:r>
              <w:rPr>
                <w:rFonts w:hint="eastAsia" w:ascii="宋体" w:hAnsi="宋体" w:cs="宋体"/>
                <w:bCs/>
                <w:color w:val="000000" w:themeColor="text1"/>
                <w:sz w:val="24"/>
                <w:szCs w:val="24"/>
                <w:lang w:bidi="ar"/>
                <w14:textFill>
                  <w14:solidFill>
                    <w14:schemeClr w14:val="tx1"/>
                  </w14:solidFill>
                </w14:textFill>
              </w:rPr>
              <w:t xml:space="preserve">的大小判断沉淀的先后次序，需要通过计算分别求出产生沉淀时所需沉淀剂的最低浓度，其值低者先沉淀。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应用分步沉淀原理，可以进行混合离子的分离、提纯。分步沉淀时，各种离子所需沉淀的浓度差越大，分离越完全。</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color w:val="C00000"/>
                <w:sz w:val="24"/>
                <w:szCs w:val="24"/>
                <w:lang w:bidi="ar"/>
              </w:rPr>
            </w:pPr>
            <w:r>
              <w:rPr>
                <w:rFonts w:hint="eastAsia" w:ascii="宋体" w:hAnsi="宋体" w:cs="宋体"/>
                <w:b/>
                <w:color w:val="C00000"/>
                <w:sz w:val="24"/>
                <w:szCs w:val="24"/>
                <w:lang w:bidi="ar"/>
              </w:rPr>
              <w:t>第三节 沉淀溶解平衡的工业应用举例</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 xml:space="preserve">沉淀溶解平衡在化工生产中有许多实际应用。除应用于 </w:t>
            </w:r>
            <w:r>
              <w:rPr>
                <w:rFonts w:hint="default" w:ascii="宋体" w:hAnsi="宋体" w:cs="宋体"/>
                <w:bCs/>
                <w:color w:val="000000" w:themeColor="text1"/>
                <w:sz w:val="24"/>
                <w:szCs w:val="24"/>
                <w:lang w:bidi="ar"/>
                <w14:textFill>
                  <w14:solidFill>
                    <w14:schemeClr w14:val="tx1"/>
                  </w14:solidFill>
                </w14:textFill>
              </w:rPr>
              <w:t>CaCO</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MgCO</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等的生产外，另一个重要的应用是利用沉淀的生成除去某些杂质离子。如提纯无机盐的一个突出问题，往往是在除去杂质离子的同时不再引入其他的杂质离子进入溶液。亦即既要把已有的杂质离子以某种形式分离出来，又不使所用的分离试剂进入溶液。在提纯无机盐溶液和分离少量杂质离子的工作中，溶度积原理得到了很好的应用。以下着重介绍。 </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bCs w:val="0"/>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一、除去杂质 Fe</w:t>
            </w:r>
            <w:r>
              <w:rPr>
                <w:rFonts w:hint="eastAsia" w:ascii="宋体" w:hAnsi="宋体" w:cs="宋体"/>
                <w:b/>
                <w:bCs w:val="0"/>
                <w:color w:val="000000" w:themeColor="text1"/>
                <w:sz w:val="24"/>
                <w:szCs w:val="24"/>
                <w:vertAlign w:val="superscript"/>
                <w:lang w:bidi="ar"/>
                <w14:textFill>
                  <w14:solidFill>
                    <w14:schemeClr w14:val="tx1"/>
                  </w14:solidFill>
                </w14:textFill>
              </w:rPr>
              <w:t>3+</w:t>
            </w:r>
            <w:r>
              <w:rPr>
                <w:rFonts w:hint="eastAsia" w:ascii="宋体" w:hAnsi="宋体" w:cs="宋体"/>
                <w:b/>
                <w:bCs w:val="0"/>
                <w:color w:val="000000" w:themeColor="text1"/>
                <w:sz w:val="24"/>
                <w:szCs w:val="24"/>
                <w:lang w:bidi="ar"/>
                <w14:textFill>
                  <w14:solidFill>
                    <w14:schemeClr w14:val="tx1"/>
                  </w14:solidFill>
                </w14:textFill>
              </w:rPr>
              <w:t xml:space="preserve">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在无机盐工业中，</w:t>
            </w:r>
            <w:r>
              <w:rPr>
                <w:rFonts w:hint="default" w:ascii="宋体" w:hAnsi="宋体" w:cs="宋体"/>
                <w:bCs/>
                <w:color w:val="000000" w:themeColor="text1"/>
                <w:sz w:val="24"/>
                <w:szCs w:val="24"/>
                <w:lang w:bidi="ar"/>
                <w14:textFill>
                  <w14:solidFill>
                    <w14:schemeClr w14:val="tx1"/>
                  </w14:solidFill>
                </w14:textFill>
              </w:rPr>
              <w:t>Fe</w:t>
            </w:r>
            <w:r>
              <w:rPr>
                <w:rFonts w:hint="default" w:ascii="宋体" w:hAnsi="宋体" w:cs="宋体"/>
                <w:bCs/>
                <w:color w:val="000000" w:themeColor="text1"/>
                <w:sz w:val="24"/>
                <w:szCs w:val="24"/>
                <w:vertAlign w:val="super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是最常遇到的一种杂质，除铁是一个典型的除杂问题。在实际工作中，除 </w:t>
            </w:r>
            <w:r>
              <w:rPr>
                <w:rFonts w:hint="default" w:ascii="宋体" w:hAnsi="宋体" w:cs="宋体"/>
                <w:bCs/>
                <w:color w:val="000000" w:themeColor="text1"/>
                <w:sz w:val="24"/>
                <w:szCs w:val="24"/>
                <w:lang w:bidi="ar"/>
                <w14:textFill>
                  <w14:solidFill>
                    <w14:schemeClr w14:val="tx1"/>
                  </w14:solidFill>
                </w14:textFill>
              </w:rPr>
              <w:t>Fe</w:t>
            </w:r>
            <w:r>
              <w:rPr>
                <w:rFonts w:hint="default" w:ascii="宋体" w:hAnsi="宋体" w:cs="宋体"/>
                <w:bCs/>
                <w:color w:val="000000" w:themeColor="text1"/>
                <w:sz w:val="24"/>
                <w:szCs w:val="24"/>
                <w:vertAlign w:val="super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的主要方法是调节溶液的 </w:t>
            </w:r>
            <w:r>
              <w:rPr>
                <w:rFonts w:hint="default" w:ascii="宋体" w:hAnsi="宋体" w:cs="宋体"/>
                <w:bCs/>
                <w:color w:val="000000" w:themeColor="text1"/>
                <w:sz w:val="24"/>
                <w:szCs w:val="24"/>
                <w:lang w:bidi="ar"/>
                <w14:textFill>
                  <w14:solidFill>
                    <w14:schemeClr w14:val="tx1"/>
                  </w14:solidFill>
                </w14:textFill>
              </w:rPr>
              <w:t>pH</w:t>
            </w:r>
            <w:r>
              <w:rPr>
                <w:rFonts w:hint="eastAsia" w:ascii="宋体" w:hAnsi="宋体" w:cs="宋体"/>
                <w:bCs/>
                <w:color w:val="000000" w:themeColor="text1"/>
                <w:sz w:val="24"/>
                <w:szCs w:val="24"/>
                <w:lang w:bidi="ar"/>
                <w14:textFill>
                  <w14:solidFill>
                    <w14:schemeClr w14:val="tx1"/>
                  </w14:solidFill>
                </w14:textFill>
              </w:rPr>
              <w:t xml:space="preserve">，使 </w:t>
            </w:r>
            <w:r>
              <w:rPr>
                <w:rFonts w:hint="default" w:ascii="宋体" w:hAnsi="宋体" w:cs="宋体"/>
                <w:bCs/>
                <w:color w:val="000000" w:themeColor="text1"/>
                <w:sz w:val="24"/>
                <w:szCs w:val="24"/>
                <w:lang w:bidi="ar"/>
                <w14:textFill>
                  <w14:solidFill>
                    <w14:schemeClr w14:val="tx1"/>
                  </w14:solidFill>
                </w14:textFill>
              </w:rPr>
              <w:t>Fe</w:t>
            </w:r>
            <w:r>
              <w:rPr>
                <w:rFonts w:hint="default" w:ascii="宋体" w:hAnsi="宋体" w:cs="宋体"/>
                <w:bCs/>
                <w:color w:val="000000" w:themeColor="text1"/>
                <w:sz w:val="24"/>
                <w:szCs w:val="24"/>
                <w:vertAlign w:val="super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生成 </w:t>
            </w:r>
            <w:r>
              <w:rPr>
                <w:rFonts w:hint="default" w:ascii="宋体" w:hAnsi="宋体" w:cs="宋体"/>
                <w:bCs/>
                <w:color w:val="000000" w:themeColor="text1"/>
                <w:sz w:val="24"/>
                <w:szCs w:val="24"/>
                <w:lang w:bidi="ar"/>
                <w14:textFill>
                  <w14:solidFill>
                    <w14:schemeClr w14:val="tx1"/>
                  </w14:solidFill>
                </w14:textFill>
              </w:rPr>
              <w:t>Fe(OH)</w:t>
            </w:r>
            <w:r>
              <w:rPr>
                <w:rFonts w:hint="default" w:ascii="宋体" w:hAnsi="宋体" w:cs="宋体"/>
                <w:bCs/>
                <w:color w:val="000000" w:themeColor="text1"/>
                <w:sz w:val="24"/>
                <w:szCs w:val="24"/>
                <w:vertAlign w:val="sub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沉淀而除去。下面先来看看 </w:t>
            </w:r>
            <w:r>
              <w:rPr>
                <w:rFonts w:hint="default" w:ascii="宋体" w:hAnsi="宋体" w:cs="宋体"/>
                <w:bCs/>
                <w:color w:val="000000" w:themeColor="text1"/>
                <w:sz w:val="24"/>
                <w:szCs w:val="24"/>
                <w:lang w:bidi="ar"/>
                <w14:textFill>
                  <w14:solidFill>
                    <w14:schemeClr w14:val="tx1"/>
                  </w14:solidFill>
                </w14:textFill>
              </w:rPr>
              <w:t>Fe</w:t>
            </w:r>
            <w:r>
              <w:rPr>
                <w:rFonts w:hint="default" w:ascii="宋体" w:hAnsi="宋体" w:cs="宋体"/>
                <w:bCs/>
                <w:color w:val="000000" w:themeColor="text1"/>
                <w:sz w:val="24"/>
                <w:szCs w:val="24"/>
                <w:vertAlign w:val="superscript"/>
                <w:lang w:bidi="ar"/>
                <w14:textFill>
                  <w14:solidFill>
                    <w14:schemeClr w14:val="tx1"/>
                  </w14:solidFill>
                </w14:textFill>
              </w:rPr>
              <w:t>3+</w:t>
            </w:r>
            <w:r>
              <w:rPr>
                <w:rFonts w:hint="default" w:ascii="宋体" w:hAnsi="宋体" w:cs="宋体"/>
                <w:bCs/>
                <w:color w:val="000000" w:themeColor="text1"/>
                <w:sz w:val="24"/>
                <w:szCs w:val="24"/>
                <w:lang w:bidi="ar"/>
                <w14:textFill>
                  <w14:solidFill>
                    <w14:schemeClr w14:val="tx1"/>
                  </w14:solidFill>
                </w14:textFill>
              </w:rPr>
              <w:t xml:space="preserve"> </w:t>
            </w:r>
            <w:r>
              <w:rPr>
                <w:rFonts w:hint="eastAsia" w:ascii="宋体" w:hAnsi="宋体" w:cs="宋体"/>
                <w:bCs/>
                <w:color w:val="000000" w:themeColor="text1"/>
                <w:sz w:val="24"/>
                <w:szCs w:val="24"/>
                <w:lang w:bidi="ar"/>
                <w14:textFill>
                  <w14:solidFill>
                    <w14:schemeClr w14:val="tx1"/>
                  </w14:solidFill>
                </w14:textFill>
              </w:rPr>
              <w:t xml:space="preserve">沉淀与溶液 </w:t>
            </w:r>
            <w:r>
              <w:rPr>
                <w:rFonts w:hint="default" w:ascii="宋体" w:hAnsi="宋体" w:cs="宋体"/>
                <w:bCs/>
                <w:color w:val="000000" w:themeColor="text1"/>
                <w:sz w:val="24"/>
                <w:szCs w:val="24"/>
                <w:lang w:bidi="ar"/>
                <w14:textFill>
                  <w14:solidFill>
                    <w14:schemeClr w14:val="tx1"/>
                  </w14:solidFill>
                </w14:textFill>
              </w:rPr>
              <w:t xml:space="preserve">pH </w:t>
            </w:r>
            <w:r>
              <w:rPr>
                <w:rFonts w:hint="eastAsia" w:ascii="宋体" w:hAnsi="宋体" w:cs="宋体"/>
                <w:bCs/>
                <w:color w:val="000000" w:themeColor="text1"/>
                <w:sz w:val="24"/>
                <w:szCs w:val="24"/>
                <w:lang w:bidi="ar"/>
                <w14:textFill>
                  <w14:solidFill>
                    <w14:schemeClr w14:val="tx1"/>
                  </w14:solidFill>
                </w14:textFill>
              </w:rPr>
              <w:t>的关系。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0" w:firstLineChars="0"/>
              <w:textAlignment w:val="auto"/>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drawing>
                <wp:inline distT="0" distB="0" distL="0" distR="0">
                  <wp:extent cx="4610100" cy="3881120"/>
                  <wp:effectExtent l="0" t="0" r="0" b="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10"/>
                          <a:srcRect b="22916"/>
                          <a:stretch>
                            <a:fillRect/>
                          </a:stretch>
                        </pic:blipFill>
                        <pic:spPr>
                          <a:xfrm>
                            <a:off x="0" y="0"/>
                            <a:ext cx="4610100" cy="3881120"/>
                          </a:xfrm>
                          <a:prstGeom prst="rect">
                            <a:avLst/>
                          </a:prstGeom>
                        </pic:spPr>
                      </pic:pic>
                    </a:graphicData>
                  </a:graphic>
                </wp:inline>
              </w:drawing>
            </w:r>
            <w:r>
              <w:rPr>
                <w:rFonts w:hint="default" w:ascii="宋体" w:hAnsi="宋体" w:cs="宋体"/>
                <w:bCs/>
                <w:color w:val="000000" w:themeColor="text1"/>
                <w:sz w:val="24"/>
                <w:szCs w:val="24"/>
                <w:lang w:bidi="ar"/>
                <w14:textFill>
                  <w14:solidFill>
                    <w14:schemeClr w14:val="tx1"/>
                  </w14:solidFill>
                </w14:textFill>
              </w:rPr>
              <w:drawing>
                <wp:inline distT="0" distB="0" distL="0" distR="0">
                  <wp:extent cx="4610100" cy="1143000"/>
                  <wp:effectExtent l="0" t="0" r="0" b="0"/>
                  <wp:docPr id="137760332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7603321" name="图片 1"/>
                          <pic:cNvPicPr>
                            <a:picLocks noChangeAspect="1"/>
                          </pic:cNvPicPr>
                        </pic:nvPicPr>
                        <pic:blipFill>
                          <a:blip r:embed="rId10"/>
                          <a:srcRect t="77299"/>
                          <a:stretch>
                            <a:fillRect/>
                          </a:stretch>
                        </pic:blipFill>
                        <pic:spPr>
                          <a:xfrm>
                            <a:off x="0" y="0"/>
                            <a:ext cx="4610100" cy="114300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firstLine="0" w:firstLineChars="0"/>
              <w:textAlignment w:val="auto"/>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drawing>
                <wp:inline distT="0" distB="0" distL="0" distR="0">
                  <wp:extent cx="4658360" cy="4114800"/>
                  <wp:effectExtent l="0" t="0" r="8890" b="0"/>
                  <wp:docPr id="13969454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94547" name="图片 1"/>
                          <pic:cNvPicPr>
                            <a:picLocks noChangeAspect="1"/>
                          </pic:cNvPicPr>
                        </pic:nvPicPr>
                        <pic:blipFill>
                          <a:blip r:embed="rId11"/>
                          <a:stretch>
                            <a:fillRect/>
                          </a:stretch>
                        </pic:blipFill>
                        <pic:spPr>
                          <a:xfrm>
                            <a:off x="0" y="0"/>
                            <a:ext cx="4658375" cy="4115374"/>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309" w:type="dxa"/>
            <w:tcBorders>
              <w:tl2br w:val="nil"/>
              <w:tr2bl w:val="nil"/>
            </w:tcBorders>
            <w:vAlign w:val="center"/>
          </w:tcPr>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r>
              <w:rPr>
                <w:rFonts w:hint="eastAsia" w:ascii="Times New Roman" w:hAnsi="Times New Roman"/>
                <w:b/>
                <w:sz w:val="24"/>
                <w:szCs w:val="24"/>
              </w:rPr>
              <w:t>通过教师讲解，了解沉淀溶解平衡的基本理论知识。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8"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宋体" w:hAnsi="宋体" w:cs="宋体"/>
                <w:sz w:val="24"/>
                <w:szCs w:val="24"/>
                <w:lang w:bidi="ar"/>
              </w:rPr>
              <w:t>（</w:t>
            </w:r>
            <w:r>
              <w:rPr>
                <w:rFonts w:hint="eastAsia" w:ascii="Times New Roman" w:hAnsi="Times New Roman"/>
                <w:sz w:val="24"/>
                <w:szCs w:val="24"/>
                <w:lang w:bidi="ar"/>
              </w:rPr>
              <w:t>3</w:t>
            </w:r>
            <w:r>
              <w:rPr>
                <w:rFonts w:hint="default" w:ascii="Times New Roman" w:hAnsi="Times New Roman"/>
                <w:sz w:val="24"/>
                <w:szCs w:val="24"/>
                <w:lang w:bidi="ar"/>
              </w:rPr>
              <w:t>min</w:t>
            </w:r>
            <w:r>
              <w:rPr>
                <w:rFonts w:hint="eastAsia" w:ascii="宋体" w:hAnsi="宋体" w:cs="宋体"/>
                <w:sz w:val="24"/>
                <w:szCs w:val="24"/>
                <w:lang w:bidi="ar"/>
              </w:rPr>
              <w:t>）</w:t>
            </w:r>
          </w:p>
        </w:tc>
        <w:tc>
          <w:tcPr>
            <w:tcW w:w="804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p>
        </w:tc>
        <w:tc>
          <w:tcPr>
            <w:tcW w:w="1309"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8"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微软雅黑" w:hAnsi="微软雅黑" w:eastAsia="微软雅黑" w:cs="微软雅黑"/>
                <w:b/>
                <w:sz w:val="24"/>
                <w:szCs w:val="24"/>
                <w:lang w:bidi="ar"/>
              </w:rPr>
              <w:t>作业布置</w:t>
            </w:r>
            <w:r>
              <w:rPr>
                <w:rFonts w:hint="eastAsia" w:ascii="宋体" w:hAnsi="宋体" w:cs="宋体"/>
                <w:sz w:val="24"/>
                <w:szCs w:val="24"/>
                <w:lang w:bidi="ar"/>
              </w:rPr>
              <w:t>（</w:t>
            </w:r>
            <w:r>
              <w:rPr>
                <w:rFonts w:hint="default" w:ascii="Times New Roman" w:hAnsi="Times New Roman"/>
                <w:sz w:val="24"/>
                <w:szCs w:val="24"/>
                <w:lang w:bidi="ar"/>
              </w:rPr>
              <w:t>2min</w:t>
            </w:r>
            <w:r>
              <w:rPr>
                <w:rFonts w:hint="eastAsia" w:ascii="宋体" w:hAnsi="宋体" w:cs="宋体"/>
                <w:sz w:val="24"/>
                <w:szCs w:val="24"/>
                <w:lang w:bidi="ar"/>
              </w:rPr>
              <w:t>）</w:t>
            </w:r>
          </w:p>
        </w:tc>
        <w:tc>
          <w:tcPr>
            <w:tcW w:w="8046"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布置课后作业</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p>
        </w:tc>
        <w:tc>
          <w:tcPr>
            <w:tcW w:w="1309"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338"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教学反思</w:t>
            </w:r>
          </w:p>
        </w:tc>
        <w:tc>
          <w:tcPr>
            <w:tcW w:w="9355"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default" w:ascii="Times New Roman" w:hAnsi="Times New Roman"/>
                <w:sz w:val="22"/>
                <w:szCs w:val="22"/>
              </w:rPr>
              <w:t xml:space="preserve">  导入是课堂教学的起始环节，正所谓"好的开始是成功的一半"，教师在导入这一环节中应想方设法集中学生的注意力，激发学生的学习兴趣，把他们的思绪带进特定的学习情境中。</w:t>
            </w:r>
          </w:p>
        </w:tc>
      </w:tr>
    </w:tbl>
    <w:p/>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0B05E83F-8BFE-4E8C-BEB2-CC48108D588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0" w:csb1="00000000"/>
  </w:font>
  <w:font w:name="汉仪菱心体简">
    <w:panose1 w:val="02010400000101010101"/>
    <w:charset w:val="86"/>
    <w:family w:val="auto"/>
    <w:pitch w:val="default"/>
    <w:sig w:usb0="00000001" w:usb1="080E0800" w:usb2="00000002" w:usb3="00000000" w:csb0="00140001" w:csb1="00000000"/>
    <w:embedRegular r:id="rId2" w:fontKey="{F3BE48D7-3048-4F37-B170-2BEAF22B8D5A}"/>
  </w:font>
  <w:font w:name="思源宋体 CN Heavy">
    <w:altName w:val="宋体"/>
    <w:panose1 w:val="02020900000000000000"/>
    <w:charset w:val="86"/>
    <w:family w:val="auto"/>
    <w:pitch w:val="default"/>
    <w:sig w:usb0="00000000" w:usb1="00000000" w:usb2="00000016" w:usb3="00000000" w:csb0="60060107" w:csb1="00000000"/>
    <w:embedRegular r:id="rId3" w:fontKey="{650F731F-8D72-4460-B73C-A74BF6F48936}"/>
  </w:font>
  <w:font w:name="微软简老宋">
    <w:panose1 w:val="00000000000000000000"/>
    <w:charset w:val="00"/>
    <w:family w:val="auto"/>
    <w:pitch w:val="default"/>
    <w:sig w:usb0="00000000" w:usb1="00000000" w:usb2="00000000" w:usb3="00000000" w:csb0="00000000" w:csb1="00000000"/>
    <w:embedRegular r:id="rId4" w:fontKey="{6364D0EB-1930-485E-8B7E-506DC9C0A1B7}"/>
  </w:font>
  <w:font w:name="微软雅黑">
    <w:panose1 w:val="020B0503020204020204"/>
    <w:charset w:val="86"/>
    <w:family w:val="auto"/>
    <w:pitch w:val="default"/>
    <w:sig w:usb0="80000287" w:usb1="2ACF3C50" w:usb2="00000016" w:usb3="00000000" w:csb0="0004001F" w:csb1="00000000"/>
    <w:embedRegular r:id="rId5" w:fontKey="{BAF516CC-9F4B-4BEF-A97E-DF1A5A0E7487}"/>
  </w:font>
  <w:font w:name="Cambria Math">
    <w:panose1 w:val="02040503050406030204"/>
    <w:charset w:val="00"/>
    <w:family w:val="roman"/>
    <w:pitch w:val="default"/>
    <w:sig w:usb0="E00006FF" w:usb1="420024FF" w:usb2="02000000" w:usb3="00000000" w:csb0="2000019F" w:csb1="00000000"/>
    <w:embedRegular r:id="rId6" w:fontKey="{82E2FE64-1848-4B53-B5E5-A79D741B6DDE}"/>
  </w:font>
  <w:font w:name="MT Extra">
    <w:panose1 w:val="05050102010205020202"/>
    <w:charset w:val="02"/>
    <w:family w:val="roman"/>
    <w:pitch w:val="default"/>
    <w:sig w:usb0="8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mc:AlternateContent>
        <mc:Choice Requires="wps">
          <w:drawing>
            <wp:anchor distT="0" distB="0" distL="114300" distR="114300" simplePos="0" relativeHeight="251663360" behindDoc="0" locked="0" layoutInCell="1" allowOverlap="1">
              <wp:simplePos x="0" y="0"/>
              <wp:positionH relativeFrom="column">
                <wp:posOffset>162560</wp:posOffset>
              </wp:positionH>
              <wp:positionV relativeFrom="paragraph">
                <wp:posOffset>-2540</wp:posOffset>
              </wp:positionV>
              <wp:extent cx="7019925" cy="9953625"/>
              <wp:effectExtent l="6350" t="6350" r="22225" b="22225"/>
              <wp:wrapNone/>
              <wp:docPr id="98" name="矩形 98"/>
              <wp:cNvGraphicFramePr/>
              <a:graphic xmlns:a="http://schemas.openxmlformats.org/drawingml/2006/main">
                <a:graphicData uri="http://schemas.microsoft.com/office/word/2010/wordprocessingShape">
                  <wps:wsp>
                    <wps:cNvSpPr/>
                    <wps:spPr>
                      <a:xfrm>
                        <a:off x="0" y="0"/>
                        <a:ext cx="7019925" cy="9953625"/>
                      </a:xfrm>
                      <a:prstGeom prst="rect">
                        <a:avLst/>
                      </a:prstGeom>
                      <a:solidFill>
                        <a:srgbClr val="FFFFFF">
                          <a:alpha val="73000"/>
                        </a:srgbClr>
                      </a:solidFill>
                      <a:ln>
                        <a:solidFill>
                          <a:srgbClr val="7EC1E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8pt;margin-top:-0.2pt;height:783.75pt;width:552.75pt;z-index:251663360;v-text-anchor:middle;mso-width-relative:page;mso-height-relative:page;" fillcolor="#FFFFFF" filled="t" stroked="t" coordsize="21600,21600" o:gfxdata="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D1gxEK2QAAAAoBAAAPAAAA&#10;AAAAAAEAIAAAACIAAABkcnMvZG93bnJldi54bWxQSwECFAAUAAAACACHTuJAUfTsz4YCAAAYBQAA&#10;DgAAAAAAAAABACAAAAAoAQAAZHJzL2Uyb0RvYy54bWxQSwUGAAAAAAYABgBZAQAAIAYAAAAA&#10;">
              <v:fill on="t" opacity="47841f" focussize="0,0"/>
              <v:stroke weight="1pt" color="#7EC1E1 [3204]" miterlimit="8" joinstyle="miter"/>
              <v:imagedata o:title=""/>
              <o:lock v:ext="edit" aspectratio="f"/>
            </v:rect>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0288;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drawing>
        <wp:anchor distT="0" distB="0" distL="114300" distR="114300" simplePos="0" relativeHeight="251662336" behindDoc="0" locked="0" layoutInCell="1" allowOverlap="1">
          <wp:simplePos x="0" y="0"/>
          <wp:positionH relativeFrom="column">
            <wp:posOffset>-189230</wp:posOffset>
          </wp:positionH>
          <wp:positionV relativeFrom="paragraph">
            <wp:posOffset>-476250</wp:posOffset>
          </wp:positionV>
          <wp:extent cx="7640955" cy="10807700"/>
          <wp:effectExtent l="0" t="0" r="17145" b="12700"/>
          <wp:wrapNone/>
          <wp:docPr id="95" name="图片 95" descr="临床医生背景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descr="临床医生背景图片"/>
                  <pic:cNvPicPr>
                    <a:picLocks noChangeAspect="1"/>
                  </pic:cNvPicPr>
                </pic:nvPicPr>
                <pic:blipFill>
                  <a:blip r:embed="rId1"/>
                  <a:stretch>
                    <a:fillRect/>
                  </a:stretch>
                </pic:blipFill>
                <pic:spPr>
                  <a:xfrm>
                    <a:off x="0" y="0"/>
                    <a:ext cx="7640955" cy="10807700"/>
                  </a:xfrm>
                  <a:prstGeom prst="rect">
                    <a:avLst/>
                  </a:prstGeom>
                </pic:spPr>
              </pic:pic>
            </a:graphicData>
          </a:graphic>
        </wp:anchor>
      </w:drawing>
    </w:r>
    <w:r>
      <w:rPr>
        <w:rFonts w:hint="eastAsia" w:eastAsia="宋体"/>
        <w:lang w:eastAsia="zh-CN"/>
      </w:rPr>
      <w:drawing>
        <wp:anchor distT="0" distB="0" distL="114300" distR="114300" simplePos="0" relativeHeight="251659264"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2"/>
                  <a:stretch>
                    <a:fillRect/>
                  </a:stretch>
                </pic:blipFill>
                <pic:spPr>
                  <a:xfrm>
                    <a:off x="0" y="0"/>
                    <a:ext cx="7559040" cy="10692130"/>
                  </a:xfrm>
                  <a:prstGeom prst="rect">
                    <a:avLst/>
                  </a:prstGeom>
                </pic:spPr>
              </pic:pic>
            </a:graphicData>
          </a:graphic>
        </wp:anchor>
      </w:drawing>
    </w:r>
  </w:p>
  <w:p>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2"/>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w:rPr>
        <w:rFonts w:hint="eastAsia" w:eastAsiaTheme="minorEastAsia"/>
        <w:lang w:eastAsia="zh-CN"/>
      </w:rPr>
      <w:drawing>
        <wp:anchor distT="0" distB="0" distL="114300" distR="114300" simplePos="0" relativeHeight="251661312" behindDoc="1" locked="0" layoutInCell="1" allowOverlap="1">
          <wp:simplePos x="0" y="0"/>
          <wp:positionH relativeFrom="column">
            <wp:posOffset>-224790</wp:posOffset>
          </wp:positionH>
          <wp:positionV relativeFrom="page">
            <wp:posOffset>0</wp:posOffset>
          </wp:positionV>
          <wp:extent cx="7676515" cy="7571105"/>
          <wp:effectExtent l="0" t="0" r="635" b="0"/>
          <wp:wrapNone/>
          <wp:docPr id="3" name="图片 3" descr="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92"/>
                  <pic:cNvPicPr>
                    <a:picLocks noChangeAspect="1"/>
                  </pic:cNvPicPr>
                </pic:nvPicPr>
                <pic:blipFill>
                  <a:blip r:embed="rId1"/>
                  <a:stretch>
                    <a:fillRect/>
                  </a:stretch>
                </pic:blipFill>
                <pic:spPr>
                  <a:xfrm>
                    <a:off x="0" y="0"/>
                    <a:ext cx="7676515" cy="757110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oNotDisplayPageBoundaries w:val="1"/>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ZhYzY1ZjEwYzE0MTgzYzYwNzAzNDFlNTliNGYwMzg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1896B19"/>
    <w:rsid w:val="027B08F2"/>
    <w:rsid w:val="0AC91BFE"/>
    <w:rsid w:val="0E3C75E8"/>
    <w:rsid w:val="130B57E0"/>
    <w:rsid w:val="1FB84519"/>
    <w:rsid w:val="2003061B"/>
    <w:rsid w:val="20F13C9B"/>
    <w:rsid w:val="234E4553"/>
    <w:rsid w:val="238347DF"/>
    <w:rsid w:val="23B95E70"/>
    <w:rsid w:val="24B477DD"/>
    <w:rsid w:val="25B63C3C"/>
    <w:rsid w:val="278141AB"/>
    <w:rsid w:val="28B578A7"/>
    <w:rsid w:val="2BEA293F"/>
    <w:rsid w:val="30843362"/>
    <w:rsid w:val="30DA5678"/>
    <w:rsid w:val="322A12C5"/>
    <w:rsid w:val="3234043F"/>
    <w:rsid w:val="32C93A41"/>
    <w:rsid w:val="34AD60CD"/>
    <w:rsid w:val="34B67F89"/>
    <w:rsid w:val="368D542E"/>
    <w:rsid w:val="38522819"/>
    <w:rsid w:val="388B134B"/>
    <w:rsid w:val="393B2E17"/>
    <w:rsid w:val="436C72A2"/>
    <w:rsid w:val="43CD7F64"/>
    <w:rsid w:val="445321E6"/>
    <w:rsid w:val="44B33A23"/>
    <w:rsid w:val="45C91BBA"/>
    <w:rsid w:val="49F8701E"/>
    <w:rsid w:val="4C7F0E23"/>
    <w:rsid w:val="55C23A1E"/>
    <w:rsid w:val="56431446"/>
    <w:rsid w:val="582E68E8"/>
    <w:rsid w:val="5A7C6694"/>
    <w:rsid w:val="5DF912CB"/>
    <w:rsid w:val="5FFC3909"/>
    <w:rsid w:val="600E33E1"/>
    <w:rsid w:val="622A303A"/>
    <w:rsid w:val="6348630B"/>
    <w:rsid w:val="69B173F0"/>
    <w:rsid w:val="6BBA47CA"/>
    <w:rsid w:val="71D879D9"/>
    <w:rsid w:val="723010AC"/>
    <w:rsid w:val="726870C2"/>
    <w:rsid w:val="7B6B7572"/>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autoRedefine/>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autoRedefine/>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autoRedefine/>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autoRedefine/>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autoRedefine/>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autoRedefine/>
    <w:semiHidden/>
    <w:unhideWhenUsed/>
    <w:qFormat/>
    <w:uiPriority w:val="1"/>
  </w:style>
  <w:style w:type="table" w:default="1" w:styleId="10">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autoRedefine/>
    <w:unhideWhenUsed/>
    <w:qFormat/>
    <w:uiPriority w:val="0"/>
    <w:rPr>
      <w:rFonts w:eastAsia="黑体" w:asciiTheme="majorHAnsi" w:hAnsiTheme="majorHAnsi" w:cstheme="majorBidi"/>
      <w:sz w:val="20"/>
      <w:szCs w:val="20"/>
    </w:rPr>
  </w:style>
  <w:style w:type="paragraph" w:styleId="8">
    <w:name w:val="footer"/>
    <w:basedOn w:val="1"/>
    <w:link w:val="19"/>
    <w:autoRedefine/>
    <w:unhideWhenUsed/>
    <w:qFormat/>
    <w:uiPriority w:val="99"/>
    <w:pPr>
      <w:tabs>
        <w:tab w:val="center" w:pos="4153"/>
        <w:tab w:val="right" w:pos="8306"/>
      </w:tabs>
      <w:snapToGrid w:val="0"/>
      <w:jc w:val="left"/>
    </w:pPr>
    <w:rPr>
      <w:sz w:val="18"/>
      <w:szCs w:val="18"/>
    </w:rPr>
  </w:style>
  <w:style w:type="paragraph" w:styleId="9">
    <w:name w:val="header"/>
    <w:basedOn w:val="1"/>
    <w:link w:val="18"/>
    <w:autoRedefine/>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autoRedefine/>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autoRedefine/>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autoRedefine/>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autoRedefine/>
    <w:qFormat/>
    <w:uiPriority w:val="0"/>
    <w:rPr>
      <w:rFonts w:ascii="宋体" w:hAnsi="宋体" w:eastAsia="宋体" w:cs="宋体"/>
      <w:sz w:val="20"/>
      <w:szCs w:val="20"/>
      <w:lang w:val="zh-TW" w:eastAsia="zh-TW" w:bidi="zh-TW"/>
    </w:rPr>
  </w:style>
  <w:style w:type="character" w:customStyle="1" w:styleId="18">
    <w:name w:val="页眉 Char"/>
    <w:basedOn w:val="12"/>
    <w:link w:val="9"/>
    <w:autoRedefine/>
    <w:qFormat/>
    <w:uiPriority w:val="99"/>
    <w:rPr>
      <w:rFonts w:ascii="Calibri" w:hAnsi="Calibri" w:eastAsia="宋体" w:cs="Times New Roman"/>
      <w:sz w:val="18"/>
      <w:szCs w:val="18"/>
    </w:rPr>
  </w:style>
  <w:style w:type="character" w:customStyle="1" w:styleId="19">
    <w:name w:val="页脚 Char"/>
    <w:basedOn w:val="12"/>
    <w:link w:val="8"/>
    <w:autoRedefine/>
    <w:qFormat/>
    <w:uiPriority w:val="99"/>
    <w:rPr>
      <w:rFonts w:ascii="Calibri" w:hAnsi="Calibri" w:eastAsia="宋体" w:cs="Times New Roman"/>
      <w:sz w:val="18"/>
      <w:szCs w:val="18"/>
    </w:rPr>
  </w:style>
  <w:style w:type="paragraph" w:styleId="20">
    <w:name w:val="List Paragraph"/>
    <w:basedOn w:val="1"/>
    <w:autoRedefine/>
    <w:qFormat/>
    <w:uiPriority w:val="34"/>
    <w:pPr>
      <w:ind w:firstLine="420" w:firstLineChars="200"/>
    </w:pPr>
  </w:style>
  <w:style w:type="paragraph" w:customStyle="1" w:styleId="21">
    <w:name w:val="知识拓展内容"/>
    <w:basedOn w:val="1"/>
    <w:link w:val="22"/>
    <w:autoRedefine/>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autoRedefine/>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autoRedefine/>
    <w:qFormat/>
    <w:uiPriority w:val="0"/>
    <w:rPr>
      <w:rFonts w:ascii="Times New Roman" w:hAnsi="Times New Roman" w:eastAsia="方正宋黑_GBK" w:cs="Times New Roman"/>
      <w:color w:val="E4007F"/>
      <w:sz w:val="26"/>
      <w:szCs w:val="20"/>
    </w:rPr>
  </w:style>
  <w:style w:type="character" w:customStyle="1" w:styleId="24">
    <w:name w:val="字符样式 拼音字体"/>
    <w:autoRedefine/>
    <w:qFormat/>
    <w:uiPriority w:val="0"/>
    <w:rPr>
      <w:rFonts w:ascii="PinYinok" w:hAnsi="PinYinok"/>
      <w:sz w:val="24"/>
      <w:szCs w:val="24"/>
    </w:rPr>
  </w:style>
  <w:style w:type="character" w:customStyle="1" w:styleId="25">
    <w:name w:val="标题 5 Char"/>
    <w:basedOn w:val="12"/>
    <w:link w:val="5"/>
    <w:semiHidden/>
    <w:qFormat/>
    <w:uiPriority w:val="9"/>
    <w:rPr>
      <w:rFonts w:ascii="Calibri" w:hAnsi="Calibri" w:eastAsia="宋体" w:cs="Times New Roman"/>
      <w:b/>
      <w:bCs/>
      <w:sz w:val="28"/>
      <w:szCs w:val="28"/>
    </w:rPr>
  </w:style>
  <w:style w:type="character" w:customStyle="1" w:styleId="26">
    <w:name w:val="标题 6 Char"/>
    <w:basedOn w:val="12"/>
    <w:link w:val="6"/>
    <w:autoRedefine/>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qFormat/>
    <w:uiPriority w:val="0"/>
    <w:pPr>
      <w:spacing w:before="120"/>
      <w:jc w:val="center"/>
    </w:pPr>
    <w:rPr>
      <w:rFonts w:ascii="Times New Roman" w:hAnsi="Times New Roman"/>
      <w:szCs w:val="20"/>
    </w:rPr>
  </w:style>
  <w:style w:type="character" w:customStyle="1" w:styleId="28">
    <w:name w:val="题注 Char"/>
    <w:link w:val="7"/>
    <w:autoRedefine/>
    <w:qFormat/>
    <w:locked/>
    <w:uiPriority w:val="0"/>
    <w:rPr>
      <w:rFonts w:eastAsia="黑体" w:asciiTheme="majorHAnsi" w:hAnsiTheme="majorHAnsi" w:cstheme="majorBidi"/>
      <w:sz w:val="20"/>
      <w:szCs w:val="20"/>
    </w:rPr>
  </w:style>
  <w:style w:type="character" w:customStyle="1" w:styleId="29">
    <w:name w:val="图片 Char"/>
    <w:link w:val="27"/>
    <w:qFormat/>
    <w:locked/>
    <w:uiPriority w:val="0"/>
    <w:rPr>
      <w:rFonts w:ascii="Times New Roman" w:hAnsi="Times New Roman" w:eastAsia="宋体" w:cs="Times New Roman"/>
      <w:szCs w:val="20"/>
    </w:rPr>
  </w:style>
  <w:style w:type="character" w:customStyle="1" w:styleId="30">
    <w:name w:val="标题 3 Char"/>
    <w:basedOn w:val="12"/>
    <w:link w:val="3"/>
    <w:autoRedefine/>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7.png"/><Relationship Id="rId8" Type="http://schemas.openxmlformats.org/officeDocument/2006/relationships/image" Target="media/image6.png"/><Relationship Id="rId7" Type="http://schemas.openxmlformats.org/officeDocument/2006/relationships/image" Target="media/image5.png"/><Relationship Id="rId6" Type="http://schemas.openxmlformats.org/officeDocument/2006/relationships/image" Target="media/image4.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1.xml"/><Relationship Id="rId11" Type="http://schemas.openxmlformats.org/officeDocument/2006/relationships/image" Target="media/image9.png"/><Relationship Id="rId10" Type="http://schemas.openxmlformats.org/officeDocument/2006/relationships/image" Target="media/image8.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10</Pages>
  <Words>3378</Words>
  <Characters>3586</Characters>
  <Lines>1</Lines>
  <Paragraphs>1</Paragraphs>
  <TotalTime>21</TotalTime>
  <ScaleCrop>false</ScaleCrop>
  <LinksUpToDate>false</LinksUpToDate>
  <CharactersWithSpaces>3647</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WPS_1751534095</cp:lastModifiedBy>
  <dcterms:modified xsi:type="dcterms:W3CDTF">2025-10-21T06:47:42Z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2AFA219A992246518F7FAD47A6E7E626_13</vt:lpwstr>
  </property>
  <property fmtid="{D5CDD505-2E9C-101B-9397-08002B2CF9AE}" pid="4" name="KSOTemplateDocerSaveRecord">
    <vt:lpwstr>eyJoZGlkIjoiNTRhMzg2OWJjMjI3MTg1NjMwMzY2YzM2YjFhZmRkZDkiLCJ1c2VySWQiOiI2NzMyNTM1ODMifQ==</vt:lpwstr>
  </property>
</Properties>
</file>